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9A29A" w14:textId="314C96F3" w:rsidR="00F9652F" w:rsidRDefault="00F9652F" w:rsidP="00FC4E5A">
      <w:pPr>
        <w:spacing w:line="360" w:lineRule="auto"/>
        <w:outlineLvl w:val="0"/>
        <w:rPr>
          <w:smallCaps/>
          <w:sz w:val="28"/>
          <w:szCs w:val="28"/>
          <w:u w:val="single"/>
        </w:rPr>
      </w:pPr>
    </w:p>
    <w:p w14:paraId="0E21CCDF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D074B7">
        <w:rPr>
          <w:rFonts w:ascii="Calibri" w:eastAsia="Calibri" w:hAnsi="Calibri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1" locked="0" layoutInCell="1" allowOverlap="1" wp14:anchorId="5BA64C82" wp14:editId="15D21077">
            <wp:simplePos x="0" y="0"/>
            <wp:positionH relativeFrom="margin">
              <wp:posOffset>-329568</wp:posOffset>
            </wp:positionH>
            <wp:positionV relativeFrom="paragraph">
              <wp:posOffset>7616</wp:posOffset>
            </wp:positionV>
            <wp:extent cx="1638303" cy="971550"/>
            <wp:effectExtent l="0" t="0" r="0" b="0"/>
            <wp:wrapNone/>
            <wp:docPr id="1981844607" name="Immagine 1981844607" descr="acqua ok2o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3" cy="9715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D074B7">
        <w:rPr>
          <w:rFonts w:ascii="Tahoma" w:eastAsia="Calibri" w:hAnsi="Tahoma" w:cs="Tahoma"/>
          <w:b/>
          <w:sz w:val="24"/>
          <w:szCs w:val="24"/>
        </w:rPr>
        <w:t xml:space="preserve">Residenza Conte </w:t>
      </w:r>
      <w:proofErr w:type="spellStart"/>
      <w:r w:rsidRPr="00D074B7">
        <w:rPr>
          <w:rFonts w:ascii="Tahoma" w:eastAsia="Calibri" w:hAnsi="Tahoma" w:cs="Tahoma"/>
          <w:b/>
          <w:sz w:val="24"/>
          <w:szCs w:val="24"/>
        </w:rPr>
        <w:t>Canevaro</w:t>
      </w:r>
      <w:proofErr w:type="spellEnd"/>
    </w:p>
    <w:p w14:paraId="41BD3B76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D074B7">
        <w:rPr>
          <w:rFonts w:ascii="Tahoma" w:eastAsia="Calibri" w:hAnsi="Tahoma" w:cs="Tahoma"/>
          <w:sz w:val="16"/>
          <w:szCs w:val="16"/>
        </w:rPr>
        <w:t>Via Antica Romana 27</w:t>
      </w:r>
    </w:p>
    <w:p w14:paraId="139EFD67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D074B7">
        <w:rPr>
          <w:rFonts w:ascii="Tahoma" w:eastAsia="Calibri" w:hAnsi="Tahoma" w:cs="Tahoma"/>
          <w:sz w:val="16"/>
          <w:szCs w:val="16"/>
        </w:rPr>
        <w:t>16035 ZOAGLI</w:t>
      </w:r>
    </w:p>
    <w:p w14:paraId="556C2299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D074B7">
        <w:rPr>
          <w:rFonts w:ascii="Tahoma" w:eastAsia="Calibri" w:hAnsi="Tahoma" w:cs="Tahoma"/>
          <w:sz w:val="16"/>
          <w:szCs w:val="16"/>
        </w:rPr>
        <w:t>Tel. 0185259049 fax 0185250034</w:t>
      </w:r>
    </w:p>
    <w:p w14:paraId="30781AAE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Tahoma" w:eastAsia="Calibri" w:hAnsi="Tahoma" w:cs="Tahoma"/>
          <w:sz w:val="16"/>
          <w:szCs w:val="16"/>
        </w:rPr>
      </w:pPr>
      <w:r w:rsidRPr="00D074B7">
        <w:rPr>
          <w:rFonts w:ascii="Tahoma" w:eastAsia="Calibri" w:hAnsi="Tahoma" w:cs="Tahoma"/>
          <w:sz w:val="16"/>
          <w:szCs w:val="16"/>
        </w:rPr>
        <w:t>CF. 83003590102</w:t>
      </w:r>
    </w:p>
    <w:p w14:paraId="0AA4498D" w14:textId="77777777" w:rsidR="00FC4E5A" w:rsidRPr="00D074B7" w:rsidRDefault="00FC4E5A" w:rsidP="00FC4E5A">
      <w:pPr>
        <w:suppressAutoHyphens/>
        <w:autoSpaceDN w:val="0"/>
        <w:spacing w:after="120" w:line="240" w:lineRule="auto"/>
        <w:ind w:left="2832"/>
        <w:jc w:val="center"/>
        <w:textAlignment w:val="baseline"/>
        <w:rPr>
          <w:rFonts w:ascii="Calibri" w:eastAsia="Calibri" w:hAnsi="Calibri" w:cs="Times New Roman"/>
        </w:rPr>
      </w:pPr>
      <w:r w:rsidRPr="00D074B7">
        <w:rPr>
          <w:rFonts w:ascii="Tahoma" w:eastAsia="Calibri" w:hAnsi="Tahoma" w:cs="Tahoma"/>
          <w:sz w:val="16"/>
          <w:szCs w:val="16"/>
        </w:rPr>
        <w:t xml:space="preserve">e-mail </w:t>
      </w:r>
      <w:hyperlink r:id="rId8" w:history="1">
        <w:r w:rsidRPr="00D074B7">
          <w:rPr>
            <w:rFonts w:ascii="Tahoma" w:eastAsia="Calibri" w:hAnsi="Tahoma" w:cs="Tahoma"/>
            <w:color w:val="0000FF"/>
            <w:sz w:val="16"/>
            <w:szCs w:val="16"/>
            <w:u w:val="single"/>
          </w:rPr>
          <w:t>info@residenzacanevaro.com</w:t>
        </w:r>
      </w:hyperlink>
    </w:p>
    <w:p w14:paraId="378F53E7" w14:textId="77777777" w:rsidR="00FC4E5A" w:rsidRDefault="00FC4E5A" w:rsidP="00F9652F">
      <w:pPr>
        <w:pStyle w:val="Default"/>
        <w:jc w:val="center"/>
        <w:rPr>
          <w:b/>
          <w:bCs/>
          <w:sz w:val="40"/>
          <w:szCs w:val="40"/>
          <w:u w:val="single"/>
        </w:rPr>
      </w:pPr>
    </w:p>
    <w:p w14:paraId="63466A27" w14:textId="77777777" w:rsidR="00FC4E5A" w:rsidRDefault="00FC4E5A" w:rsidP="00FC4E5A">
      <w:pPr>
        <w:pStyle w:val="Default"/>
        <w:rPr>
          <w:b/>
          <w:bCs/>
          <w:sz w:val="40"/>
          <w:szCs w:val="40"/>
          <w:u w:val="single"/>
        </w:rPr>
      </w:pPr>
    </w:p>
    <w:p w14:paraId="031E9322" w14:textId="0E634C2A" w:rsidR="00F9652F" w:rsidRPr="00FB3B11" w:rsidRDefault="00F9652F" w:rsidP="00F9652F">
      <w:pPr>
        <w:pStyle w:val="Default"/>
        <w:jc w:val="center"/>
        <w:rPr>
          <w:b/>
          <w:bCs/>
          <w:sz w:val="40"/>
          <w:szCs w:val="40"/>
          <w:u w:val="single"/>
        </w:rPr>
      </w:pPr>
      <w:r w:rsidRPr="00FB3B11">
        <w:rPr>
          <w:b/>
          <w:bCs/>
          <w:sz w:val="40"/>
          <w:szCs w:val="40"/>
          <w:u w:val="single"/>
        </w:rPr>
        <w:t xml:space="preserve">PROTOCOLLO </w:t>
      </w:r>
      <w:r w:rsidR="00FC4E5A">
        <w:rPr>
          <w:b/>
          <w:bCs/>
          <w:sz w:val="40"/>
          <w:szCs w:val="40"/>
          <w:u w:val="single"/>
        </w:rPr>
        <w:t>13</w:t>
      </w:r>
    </w:p>
    <w:p w14:paraId="46FF3599" w14:textId="77777777" w:rsidR="00F9652F" w:rsidRPr="00FB3B11" w:rsidRDefault="00F9652F" w:rsidP="00F9652F">
      <w:pPr>
        <w:pStyle w:val="Default"/>
        <w:jc w:val="center"/>
        <w:rPr>
          <w:b/>
          <w:bCs/>
          <w:sz w:val="40"/>
          <w:szCs w:val="40"/>
          <w:u w:val="single"/>
        </w:rPr>
      </w:pPr>
    </w:p>
    <w:p w14:paraId="47B81BE8" w14:textId="6861A96B" w:rsidR="00F9652F" w:rsidRPr="00FB3B11" w:rsidRDefault="00DE21B1" w:rsidP="00F9652F">
      <w:pPr>
        <w:pStyle w:val="Default"/>
        <w:jc w:val="center"/>
        <w:rPr>
          <w:b/>
          <w:bCs/>
          <w:sz w:val="40"/>
          <w:szCs w:val="40"/>
          <w:u w:val="single"/>
        </w:rPr>
      </w:pPr>
      <w:bookmarkStart w:id="0" w:name="_Hlk115430496"/>
      <w:r>
        <w:rPr>
          <w:b/>
          <w:bCs/>
          <w:sz w:val="40"/>
          <w:szCs w:val="40"/>
          <w:u w:val="single"/>
        </w:rPr>
        <w:t>DICHIARAZIONI ALL</w:t>
      </w:r>
      <w:r w:rsidR="00F9652F">
        <w:rPr>
          <w:b/>
          <w:bCs/>
          <w:sz w:val="40"/>
          <w:szCs w:val="40"/>
          <w:u w:val="single"/>
        </w:rPr>
        <w:t>’AUTORITÀ GIUDIZIARIA</w:t>
      </w:r>
    </w:p>
    <w:bookmarkEnd w:id="0"/>
    <w:p w14:paraId="7D135E48" w14:textId="77777777" w:rsidR="00F9652F" w:rsidRDefault="00F9652F" w:rsidP="00F9652F">
      <w:pPr>
        <w:pStyle w:val="Default"/>
        <w:rPr>
          <w:sz w:val="28"/>
          <w:szCs w:val="28"/>
        </w:rPr>
      </w:pPr>
    </w:p>
    <w:p w14:paraId="6B14E98A" w14:textId="77777777" w:rsidR="00F9652F" w:rsidRDefault="00F9652F" w:rsidP="00F9652F">
      <w:pPr>
        <w:pStyle w:val="Default"/>
        <w:rPr>
          <w:sz w:val="22"/>
          <w:szCs w:val="22"/>
          <w:u w:val="single"/>
        </w:rPr>
      </w:pPr>
    </w:p>
    <w:p w14:paraId="1C5036DD" w14:textId="77777777" w:rsidR="00F9652F" w:rsidRPr="00FB3B11" w:rsidRDefault="00F9652F" w:rsidP="00F9652F">
      <w:pPr>
        <w:pStyle w:val="Default"/>
        <w:rPr>
          <w:sz w:val="22"/>
          <w:szCs w:val="22"/>
          <w:u w:val="single"/>
        </w:rPr>
      </w:pPr>
      <w:r w:rsidRPr="00FB3B11">
        <w:rPr>
          <w:sz w:val="22"/>
          <w:szCs w:val="22"/>
          <w:u w:val="single"/>
        </w:rPr>
        <w:t xml:space="preserve">INDICE: </w:t>
      </w:r>
    </w:p>
    <w:p w14:paraId="4C558D22" w14:textId="77777777" w:rsidR="00F9652F" w:rsidRPr="003B5D0E" w:rsidRDefault="00F9652F" w:rsidP="00F9652F">
      <w:pPr>
        <w:pStyle w:val="Default"/>
        <w:rPr>
          <w:sz w:val="22"/>
          <w:szCs w:val="22"/>
        </w:rPr>
      </w:pPr>
    </w:p>
    <w:p w14:paraId="09142AD2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1. OBIETTIVI </w:t>
      </w:r>
    </w:p>
    <w:p w14:paraId="65BB691E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2. DESTINATARI </w:t>
      </w:r>
    </w:p>
    <w:p w14:paraId="61BC91E4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3. PROCESSI AZIENDALI COINVOLTI </w:t>
      </w:r>
    </w:p>
    <w:p w14:paraId="1A35CA8C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4. DOCUMENTAZIONE INTEGRATIVA </w:t>
      </w:r>
    </w:p>
    <w:p w14:paraId="1CA813DC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5. PROCEDURE DA APPLICARE </w:t>
      </w:r>
    </w:p>
    <w:p w14:paraId="770E9ED5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6. ATTIVITÀ DELL’ODV </w:t>
      </w:r>
    </w:p>
    <w:p w14:paraId="06F04F43" w14:textId="77777777" w:rsidR="00F9652F" w:rsidRPr="003B5D0E" w:rsidRDefault="00F9652F" w:rsidP="00F9652F">
      <w:pPr>
        <w:pStyle w:val="Default"/>
        <w:rPr>
          <w:sz w:val="22"/>
          <w:szCs w:val="22"/>
        </w:rPr>
      </w:pPr>
      <w:r w:rsidRPr="003B5D0E">
        <w:rPr>
          <w:sz w:val="22"/>
          <w:szCs w:val="22"/>
        </w:rPr>
        <w:t xml:space="preserve">7. DISPOSIZIONI FINALI </w:t>
      </w:r>
    </w:p>
    <w:p w14:paraId="4C1D76CF" w14:textId="77777777" w:rsidR="00F9652F" w:rsidRDefault="00F9652F" w:rsidP="00F9652F">
      <w:pPr>
        <w:pStyle w:val="Default"/>
        <w:rPr>
          <w:sz w:val="19"/>
          <w:szCs w:val="19"/>
        </w:rPr>
      </w:pPr>
    </w:p>
    <w:p w14:paraId="2163C941" w14:textId="77777777" w:rsidR="00F9652F" w:rsidRDefault="00F9652F" w:rsidP="00F9652F">
      <w:pPr>
        <w:pStyle w:val="Default"/>
        <w:rPr>
          <w:sz w:val="19"/>
          <w:szCs w:val="19"/>
        </w:rPr>
      </w:pPr>
    </w:p>
    <w:p w14:paraId="0C2C853A" w14:textId="77777777" w:rsidR="00F9652F" w:rsidRDefault="00F9652F" w:rsidP="00F9652F">
      <w:pPr>
        <w:pStyle w:val="Default"/>
        <w:numPr>
          <w:ilvl w:val="0"/>
          <w:numId w:val="14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Obiettivi </w:t>
      </w:r>
    </w:p>
    <w:p w14:paraId="22FFC7E8" w14:textId="77777777" w:rsidR="00F9652F" w:rsidRPr="00EA3A78" w:rsidRDefault="00F9652F" w:rsidP="00F9652F">
      <w:pPr>
        <w:pStyle w:val="Default"/>
        <w:ind w:left="720"/>
        <w:jc w:val="both"/>
        <w:rPr>
          <w:sz w:val="22"/>
          <w:szCs w:val="22"/>
        </w:rPr>
      </w:pPr>
    </w:p>
    <w:p w14:paraId="0C23CA84" w14:textId="01AED4AB" w:rsidR="00F9652F" w:rsidRPr="00946846" w:rsidRDefault="00F9652F" w:rsidP="00DE21B1">
      <w:pPr>
        <w:pStyle w:val="Default"/>
        <w:jc w:val="both"/>
      </w:pPr>
      <w:r w:rsidRPr="00EA3A78">
        <w:rPr>
          <w:sz w:val="22"/>
          <w:szCs w:val="22"/>
        </w:rPr>
        <w:t xml:space="preserve">Il presente protocollo ha l’obiettivo di definire ruoli e responsabilità in relazione </w:t>
      </w:r>
      <w:r w:rsidR="00DE21B1">
        <w:rPr>
          <w:sz w:val="22"/>
          <w:szCs w:val="22"/>
        </w:rPr>
        <w:t>alle dichiarazioni che devono essere rilasciate al</w:t>
      </w:r>
      <w:r w:rsidR="00946846">
        <w:rPr>
          <w:sz w:val="22"/>
          <w:szCs w:val="22"/>
        </w:rPr>
        <w:t>l’Autorità Giudiziaria</w:t>
      </w:r>
      <w:r>
        <w:rPr>
          <w:sz w:val="22"/>
          <w:szCs w:val="22"/>
        </w:rPr>
        <w:t xml:space="preserve"> </w:t>
      </w:r>
      <w:r w:rsidR="00DE21B1">
        <w:rPr>
          <w:sz w:val="22"/>
          <w:szCs w:val="22"/>
        </w:rPr>
        <w:t>in ossequio a quanto prevede l’</w:t>
      </w:r>
      <w:r w:rsidR="00946846" w:rsidRPr="00DE21B1">
        <w:rPr>
          <w:sz w:val="22"/>
          <w:szCs w:val="22"/>
        </w:rPr>
        <w:t xml:space="preserve">articolo 25 </w:t>
      </w:r>
      <w:proofErr w:type="spellStart"/>
      <w:r w:rsidR="00946846" w:rsidRPr="00DE21B1">
        <w:rPr>
          <w:sz w:val="22"/>
          <w:szCs w:val="22"/>
        </w:rPr>
        <w:t>decies</w:t>
      </w:r>
      <w:proofErr w:type="spellEnd"/>
      <w:r w:rsidR="00946846" w:rsidRPr="00DE21B1">
        <w:rPr>
          <w:sz w:val="22"/>
          <w:szCs w:val="22"/>
        </w:rPr>
        <w:t xml:space="preserve"> </w:t>
      </w:r>
      <w:proofErr w:type="spellStart"/>
      <w:r w:rsidR="00946846" w:rsidRPr="00DE21B1">
        <w:rPr>
          <w:sz w:val="22"/>
          <w:szCs w:val="22"/>
        </w:rPr>
        <w:t>D.Lgs</w:t>
      </w:r>
      <w:proofErr w:type="spellEnd"/>
      <w:r w:rsidR="00946846" w:rsidRPr="00DE21B1">
        <w:rPr>
          <w:sz w:val="22"/>
          <w:szCs w:val="22"/>
        </w:rPr>
        <w:t xml:space="preserve"> 231/2001 (art. 377 bis c.p.)</w:t>
      </w:r>
    </w:p>
    <w:p w14:paraId="13C1A4D1" w14:textId="77777777" w:rsidR="00946846" w:rsidRPr="00EA3A78" w:rsidRDefault="00946846" w:rsidP="00946846">
      <w:pPr>
        <w:pStyle w:val="Paragrafoelenco"/>
        <w:shd w:val="clear" w:color="auto" w:fill="FFFFFF"/>
        <w:spacing w:after="0" w:line="240" w:lineRule="atLeast"/>
        <w:jc w:val="both"/>
        <w:textAlignment w:val="baseline"/>
      </w:pPr>
    </w:p>
    <w:p w14:paraId="46AFD0FA" w14:textId="193AA1F0" w:rsidR="00F9652F" w:rsidRDefault="00F9652F" w:rsidP="00F9652F">
      <w:pPr>
        <w:jc w:val="both"/>
        <w:rPr>
          <w:rFonts w:ascii="Arial" w:hAnsi="Arial" w:cs="Arial"/>
        </w:rPr>
      </w:pPr>
      <w:r w:rsidRPr="00EA3A78">
        <w:rPr>
          <w:rFonts w:ascii="Arial" w:hAnsi="Arial" w:cs="Arial"/>
        </w:rPr>
        <w:t>Il presente protocollo è altresì volto a prevenire il reato di cui all’art. 416 c.p. (associazione per delinquere), laddove finalizzato alla commissione dei reati di cui sopra.</w:t>
      </w:r>
    </w:p>
    <w:p w14:paraId="6F2011F5" w14:textId="77777777" w:rsidR="00946846" w:rsidRPr="00EA3A78" w:rsidRDefault="00946846" w:rsidP="00F9652F">
      <w:pPr>
        <w:jc w:val="both"/>
        <w:rPr>
          <w:rFonts w:ascii="Arial" w:hAnsi="Arial" w:cs="Arial"/>
        </w:rPr>
      </w:pPr>
    </w:p>
    <w:p w14:paraId="61F0E4C7" w14:textId="77777777" w:rsidR="00F9652F" w:rsidRDefault="00F9652F" w:rsidP="00F9652F">
      <w:pPr>
        <w:pStyle w:val="Default"/>
        <w:numPr>
          <w:ilvl w:val="0"/>
          <w:numId w:val="14"/>
        </w:numPr>
        <w:jc w:val="both"/>
        <w:rPr>
          <w:b/>
          <w:bCs/>
          <w:sz w:val="22"/>
          <w:szCs w:val="22"/>
        </w:rPr>
      </w:pPr>
      <w:r w:rsidRPr="00EA3A78">
        <w:rPr>
          <w:b/>
          <w:bCs/>
          <w:sz w:val="22"/>
          <w:szCs w:val="22"/>
        </w:rPr>
        <w:t xml:space="preserve">Destinatari (Aree a rischio) </w:t>
      </w:r>
    </w:p>
    <w:p w14:paraId="71859DF3" w14:textId="77777777" w:rsidR="00F9652F" w:rsidRPr="00EA4639" w:rsidRDefault="00F9652F" w:rsidP="00F9652F">
      <w:pPr>
        <w:pStyle w:val="Default"/>
        <w:ind w:left="720"/>
        <w:jc w:val="both"/>
        <w:rPr>
          <w:sz w:val="22"/>
          <w:szCs w:val="22"/>
        </w:rPr>
      </w:pPr>
    </w:p>
    <w:p w14:paraId="2E8DFCF7" w14:textId="05A1E4E4" w:rsidR="00F9652F" w:rsidRPr="00EA3A78" w:rsidRDefault="00DE21B1" w:rsidP="00F965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F9652F" w:rsidRPr="00EA3A78">
        <w:rPr>
          <w:sz w:val="22"/>
          <w:szCs w:val="22"/>
        </w:rPr>
        <w:t>processi aziendali sensibili</w:t>
      </w:r>
      <w:r>
        <w:rPr>
          <w:sz w:val="22"/>
          <w:szCs w:val="22"/>
        </w:rPr>
        <w:t xml:space="preserve"> indicati nel Risk </w:t>
      </w:r>
      <w:proofErr w:type="spellStart"/>
      <w:r>
        <w:rPr>
          <w:sz w:val="22"/>
          <w:szCs w:val="22"/>
        </w:rPr>
        <w:t>Assessment</w:t>
      </w:r>
      <w:proofErr w:type="spellEnd"/>
      <w:r w:rsidR="00F9652F" w:rsidRPr="00EA3A78">
        <w:rPr>
          <w:sz w:val="22"/>
          <w:szCs w:val="22"/>
        </w:rPr>
        <w:t xml:space="preserve"> prevedono il coinvolgimento, secondo le rispettive competenze, dei seguenti soggetti: </w:t>
      </w:r>
    </w:p>
    <w:p w14:paraId="182E6D52" w14:textId="77777777" w:rsidR="00F9652F" w:rsidRDefault="00F9652F" w:rsidP="00F9652F">
      <w:pPr>
        <w:pStyle w:val="Default"/>
        <w:jc w:val="both"/>
        <w:rPr>
          <w:color w:val="auto"/>
          <w:sz w:val="22"/>
          <w:szCs w:val="22"/>
        </w:rPr>
      </w:pPr>
    </w:p>
    <w:p w14:paraId="4824913F" w14:textId="67DC07A9" w:rsidR="00F9652F" w:rsidRDefault="007D636F" w:rsidP="00F9652F">
      <w:pPr>
        <w:pStyle w:val="Paragrafoelenco"/>
        <w:numPr>
          <w:ilvl w:val="0"/>
          <w:numId w:val="17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Presidente del Cda;</w:t>
      </w:r>
    </w:p>
    <w:p w14:paraId="5CD2F653" w14:textId="4396CF8F" w:rsidR="007D636F" w:rsidRPr="00B713AE" w:rsidRDefault="007D636F" w:rsidP="00F9652F">
      <w:pPr>
        <w:pStyle w:val="Paragrafoelenco"/>
        <w:numPr>
          <w:ilvl w:val="0"/>
          <w:numId w:val="17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Responsabile Affari Generali e Legali/Responsabile Amministrativo facente funzioni</w:t>
      </w:r>
    </w:p>
    <w:p w14:paraId="3DE4E90A" w14:textId="3B40202C" w:rsidR="00F9652F" w:rsidRDefault="00F9652F" w:rsidP="00F9652F">
      <w:pPr>
        <w:pStyle w:val="Paragrafoelenco"/>
        <w:numPr>
          <w:ilvl w:val="0"/>
          <w:numId w:val="17"/>
        </w:numPr>
        <w:spacing w:after="160" w:line="259" w:lineRule="auto"/>
        <w:rPr>
          <w:rFonts w:ascii="Arial" w:hAnsi="Arial" w:cs="Arial"/>
        </w:rPr>
      </w:pPr>
      <w:r w:rsidRPr="00B713AE">
        <w:rPr>
          <w:rFonts w:ascii="Arial" w:hAnsi="Arial" w:cs="Arial"/>
        </w:rPr>
        <w:t>Consulent</w:t>
      </w:r>
      <w:r w:rsidR="007D636F">
        <w:rPr>
          <w:rFonts w:ascii="Arial" w:hAnsi="Arial" w:cs="Arial"/>
        </w:rPr>
        <w:t>e legale</w:t>
      </w:r>
    </w:p>
    <w:p w14:paraId="70AB60D7" w14:textId="261F14AC" w:rsidR="00DE21B1" w:rsidRDefault="00DE21B1" w:rsidP="00F9652F">
      <w:pPr>
        <w:pStyle w:val="Paragrafoelenco"/>
        <w:numPr>
          <w:ilvl w:val="0"/>
          <w:numId w:val="17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Potenzialmente tutte le funzioni e aree aziendali</w:t>
      </w:r>
    </w:p>
    <w:p w14:paraId="4A5125D7" w14:textId="77777777" w:rsidR="0028598E" w:rsidRPr="00DE21B1" w:rsidRDefault="0028598E" w:rsidP="00DE21B1">
      <w:pPr>
        <w:spacing w:after="160" w:line="259" w:lineRule="auto"/>
        <w:rPr>
          <w:rFonts w:ascii="Arial" w:hAnsi="Arial" w:cs="Arial"/>
        </w:rPr>
      </w:pPr>
    </w:p>
    <w:p w14:paraId="11CD0598" w14:textId="77777777" w:rsidR="00F9652F" w:rsidRPr="00EA3A78" w:rsidRDefault="00F9652F" w:rsidP="00F9652F">
      <w:pPr>
        <w:pStyle w:val="Default"/>
        <w:jc w:val="both"/>
        <w:rPr>
          <w:sz w:val="22"/>
          <w:szCs w:val="22"/>
        </w:rPr>
      </w:pPr>
    </w:p>
    <w:p w14:paraId="015C4D59" w14:textId="77777777" w:rsidR="00F9652F" w:rsidRPr="00EA3A78" w:rsidRDefault="00F9652F" w:rsidP="00F9652F">
      <w:pPr>
        <w:pStyle w:val="Default"/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 w:rsidRPr="00EA3A78">
        <w:rPr>
          <w:b/>
          <w:bCs/>
          <w:sz w:val="22"/>
          <w:szCs w:val="22"/>
        </w:rPr>
        <w:t>Processi aziendali coinvolti (Processi a rischio)</w:t>
      </w:r>
    </w:p>
    <w:p w14:paraId="4D0FFA7E" w14:textId="77777777" w:rsidR="00F9652F" w:rsidRPr="00EA3A78" w:rsidRDefault="00F9652F" w:rsidP="00F9652F">
      <w:pPr>
        <w:pStyle w:val="Default"/>
        <w:jc w:val="both"/>
        <w:rPr>
          <w:b/>
          <w:bCs/>
          <w:sz w:val="22"/>
          <w:szCs w:val="22"/>
        </w:rPr>
      </w:pPr>
    </w:p>
    <w:p w14:paraId="79097F39" w14:textId="77777777" w:rsidR="00F9652F" w:rsidRPr="00EA3A78" w:rsidRDefault="00F9652F" w:rsidP="00F9652F">
      <w:pPr>
        <w:pStyle w:val="Default"/>
        <w:ind w:left="720"/>
        <w:jc w:val="both"/>
        <w:rPr>
          <w:sz w:val="22"/>
          <w:szCs w:val="22"/>
        </w:rPr>
      </w:pPr>
      <w:r w:rsidRPr="00EA3A78">
        <w:rPr>
          <w:b/>
          <w:bCs/>
          <w:sz w:val="22"/>
          <w:szCs w:val="22"/>
        </w:rPr>
        <w:t xml:space="preserve"> </w:t>
      </w:r>
    </w:p>
    <w:p w14:paraId="7C62B600" w14:textId="570F521C" w:rsidR="00F9652F" w:rsidRDefault="00DE21B1" w:rsidP="00F965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L’unico processo aziendale sensibile indicato nel Risk </w:t>
      </w:r>
      <w:proofErr w:type="spellStart"/>
      <w:r>
        <w:rPr>
          <w:sz w:val="22"/>
          <w:szCs w:val="22"/>
        </w:rPr>
        <w:t>Assessment</w:t>
      </w:r>
      <w:proofErr w:type="spellEnd"/>
      <w:r>
        <w:rPr>
          <w:sz w:val="22"/>
          <w:szCs w:val="22"/>
        </w:rPr>
        <w:t xml:space="preserve"> e disciplinato nel presente protocollo, è quello di “Gestione dei rapporti con soggetti chiamati a rilasciare dichiarazioni all’Autorità Giudiziaria”</w:t>
      </w:r>
      <w:r w:rsidR="00EF51C1">
        <w:rPr>
          <w:sz w:val="22"/>
          <w:szCs w:val="22"/>
        </w:rPr>
        <w:t>.</w:t>
      </w:r>
    </w:p>
    <w:p w14:paraId="533B845F" w14:textId="72902090" w:rsidR="00EF51C1" w:rsidRPr="00EA3A78" w:rsidRDefault="00EF51C1" w:rsidP="00F965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Gli altri processi a rischio rinvenibili nel documento di Risk </w:t>
      </w:r>
      <w:proofErr w:type="spellStart"/>
      <w:r>
        <w:rPr>
          <w:sz w:val="22"/>
          <w:szCs w:val="22"/>
        </w:rPr>
        <w:t>Assessment</w:t>
      </w:r>
      <w:proofErr w:type="spellEnd"/>
      <w:r>
        <w:rPr>
          <w:sz w:val="22"/>
          <w:szCs w:val="22"/>
        </w:rPr>
        <w:t xml:space="preserve"> sono disciplinati in altri protocolli di prevenzione, come segue nel paragrafo 4, e come meglio verrà esposto nel paragrafo 5.</w:t>
      </w:r>
    </w:p>
    <w:p w14:paraId="5D23DD38" w14:textId="77777777" w:rsidR="00F9652F" w:rsidRPr="00EA3A78" w:rsidRDefault="00F9652F" w:rsidP="00F9652F">
      <w:pPr>
        <w:pStyle w:val="Default"/>
        <w:jc w:val="both"/>
        <w:rPr>
          <w:sz w:val="22"/>
          <w:szCs w:val="22"/>
        </w:rPr>
      </w:pPr>
    </w:p>
    <w:p w14:paraId="43EA8EE7" w14:textId="77777777" w:rsidR="00F9652F" w:rsidRPr="00EA3A78" w:rsidRDefault="00F9652F" w:rsidP="00F9652F">
      <w:pPr>
        <w:pStyle w:val="Default"/>
        <w:jc w:val="both"/>
        <w:rPr>
          <w:sz w:val="22"/>
          <w:szCs w:val="22"/>
        </w:rPr>
      </w:pPr>
    </w:p>
    <w:p w14:paraId="1878FA6E" w14:textId="77777777" w:rsidR="00F9652F" w:rsidRPr="00EA3A78" w:rsidRDefault="00F9652F" w:rsidP="00F9652F">
      <w:pPr>
        <w:pStyle w:val="Default"/>
        <w:numPr>
          <w:ilvl w:val="0"/>
          <w:numId w:val="16"/>
        </w:numPr>
        <w:jc w:val="both"/>
        <w:rPr>
          <w:b/>
          <w:bCs/>
          <w:sz w:val="22"/>
          <w:szCs w:val="22"/>
        </w:rPr>
      </w:pPr>
      <w:r w:rsidRPr="00EA3A78">
        <w:rPr>
          <w:b/>
          <w:bCs/>
          <w:sz w:val="22"/>
          <w:szCs w:val="22"/>
        </w:rPr>
        <w:t xml:space="preserve">Documentazione integrativa </w:t>
      </w:r>
    </w:p>
    <w:p w14:paraId="742BFE83" w14:textId="77777777" w:rsidR="00F9652F" w:rsidRPr="00EA3A78" w:rsidRDefault="00F9652F" w:rsidP="00F9652F">
      <w:pPr>
        <w:pStyle w:val="Default"/>
        <w:ind w:left="720"/>
        <w:jc w:val="both"/>
        <w:rPr>
          <w:sz w:val="22"/>
          <w:szCs w:val="22"/>
        </w:rPr>
      </w:pPr>
    </w:p>
    <w:p w14:paraId="6ADB6AC0" w14:textId="62A3C8BE" w:rsidR="00F9652F" w:rsidRDefault="00EF51C1" w:rsidP="00F9652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F9652F">
        <w:rPr>
          <w:sz w:val="22"/>
          <w:szCs w:val="22"/>
        </w:rPr>
        <w:t>l presente protocollo r</w:t>
      </w:r>
      <w:r w:rsidR="00F9652F" w:rsidRPr="00EA3A78">
        <w:rPr>
          <w:sz w:val="22"/>
          <w:szCs w:val="22"/>
        </w:rPr>
        <w:t xml:space="preserve">ichiama ed integra quanto già disciplinato nell’ambito della seguente documentazione: </w:t>
      </w:r>
    </w:p>
    <w:p w14:paraId="7E9B25C8" w14:textId="77777777" w:rsidR="00F9652F" w:rsidRPr="00EA3A78" w:rsidRDefault="00F9652F" w:rsidP="00F9652F">
      <w:pPr>
        <w:pStyle w:val="Default"/>
        <w:jc w:val="both"/>
        <w:rPr>
          <w:sz w:val="22"/>
          <w:szCs w:val="22"/>
        </w:rPr>
      </w:pPr>
    </w:p>
    <w:p w14:paraId="2105685D" w14:textId="77777777" w:rsidR="00F9652F" w:rsidRPr="00EA3A78" w:rsidRDefault="00F9652F" w:rsidP="00F9652F">
      <w:pPr>
        <w:pStyle w:val="Default"/>
        <w:numPr>
          <w:ilvl w:val="0"/>
          <w:numId w:val="15"/>
        </w:numPr>
        <w:spacing w:after="7"/>
        <w:jc w:val="both"/>
        <w:rPr>
          <w:sz w:val="22"/>
          <w:szCs w:val="22"/>
        </w:rPr>
      </w:pPr>
      <w:r w:rsidRPr="00EA3A78">
        <w:rPr>
          <w:sz w:val="22"/>
          <w:szCs w:val="22"/>
        </w:rPr>
        <w:t xml:space="preserve">Codice Etico </w:t>
      </w:r>
    </w:p>
    <w:p w14:paraId="67817141" w14:textId="77777777" w:rsidR="00F9652F" w:rsidRPr="00B539AC" w:rsidRDefault="00F9652F" w:rsidP="00F965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Disposizioni di legge vigenti</w:t>
      </w:r>
    </w:p>
    <w:p w14:paraId="6BE2B0AA" w14:textId="77777777" w:rsidR="00F9652F" w:rsidRDefault="00F9652F" w:rsidP="00F9652F">
      <w:pPr>
        <w:pStyle w:val="Default"/>
        <w:spacing w:after="7"/>
        <w:ind w:left="720"/>
        <w:jc w:val="both"/>
        <w:rPr>
          <w:sz w:val="22"/>
          <w:szCs w:val="22"/>
        </w:rPr>
      </w:pPr>
    </w:p>
    <w:p w14:paraId="72A052BB" w14:textId="77777777" w:rsidR="00F9652F" w:rsidRPr="00B713AE" w:rsidRDefault="00F9652F" w:rsidP="00F9652F">
      <w:pPr>
        <w:pStyle w:val="Default"/>
        <w:spacing w:after="7"/>
        <w:ind w:left="720"/>
        <w:jc w:val="both"/>
        <w:rPr>
          <w:sz w:val="22"/>
          <w:szCs w:val="22"/>
        </w:rPr>
      </w:pPr>
    </w:p>
    <w:p w14:paraId="0B92BC35" w14:textId="77777777" w:rsidR="00F9652F" w:rsidRPr="00EA3A78" w:rsidRDefault="00F9652F" w:rsidP="00F9652F">
      <w:pPr>
        <w:jc w:val="both"/>
        <w:rPr>
          <w:rFonts w:ascii="Arial" w:hAnsi="Arial" w:cs="Arial"/>
        </w:rPr>
      </w:pPr>
      <w:r w:rsidRPr="00EA3A78">
        <w:rPr>
          <w:rFonts w:ascii="Arial" w:hAnsi="Arial" w:cs="Arial"/>
        </w:rPr>
        <w:t>Altri protocolli del presente MOG</w:t>
      </w:r>
      <w:r>
        <w:rPr>
          <w:rFonts w:ascii="Arial" w:hAnsi="Arial" w:cs="Arial"/>
        </w:rPr>
        <w:t>231</w:t>
      </w:r>
      <w:r w:rsidRPr="00EA3A78">
        <w:rPr>
          <w:rFonts w:ascii="Arial" w:hAnsi="Arial" w:cs="Arial"/>
        </w:rPr>
        <w:t xml:space="preserve"> cui si rinvia, per quanto di competenza, con particolare – ma non esclusivo – riferimento a: </w:t>
      </w:r>
    </w:p>
    <w:p w14:paraId="0DF5FA82" w14:textId="67830DB2" w:rsidR="00EF51C1" w:rsidRDefault="00F9652F" w:rsidP="00F9652F">
      <w:pPr>
        <w:pStyle w:val="Default"/>
        <w:spacing w:after="44"/>
        <w:jc w:val="both"/>
        <w:rPr>
          <w:sz w:val="22"/>
          <w:szCs w:val="22"/>
        </w:rPr>
      </w:pPr>
      <w:r w:rsidRPr="00EA3A78">
        <w:rPr>
          <w:sz w:val="22"/>
          <w:szCs w:val="22"/>
        </w:rPr>
        <w:t xml:space="preserve">- Protocollo </w:t>
      </w:r>
      <w:r w:rsidR="00FC4E5A">
        <w:rPr>
          <w:sz w:val="22"/>
          <w:szCs w:val="22"/>
        </w:rPr>
        <w:t>2</w:t>
      </w:r>
      <w:r w:rsidRPr="00EA3A78">
        <w:rPr>
          <w:sz w:val="22"/>
          <w:szCs w:val="22"/>
        </w:rPr>
        <w:t xml:space="preserve"> (Gestione dei Flussi finanziari) per quanto attiene i flussi verso</w:t>
      </w:r>
      <w:r w:rsidR="00EF51C1">
        <w:rPr>
          <w:sz w:val="22"/>
          <w:szCs w:val="22"/>
        </w:rPr>
        <w:t xml:space="preserve"> le i soggetti chiamati a rilasciare dichiarazioni all’autorità giudiziaria;</w:t>
      </w:r>
    </w:p>
    <w:p w14:paraId="174B02DD" w14:textId="6A5BAEDE" w:rsidR="00F9652F" w:rsidRDefault="00EF51C1" w:rsidP="00F9652F">
      <w:pPr>
        <w:pStyle w:val="Default"/>
        <w:spacing w:after="44"/>
        <w:jc w:val="both"/>
        <w:rPr>
          <w:sz w:val="22"/>
          <w:szCs w:val="22"/>
        </w:rPr>
      </w:pPr>
      <w:r>
        <w:rPr>
          <w:sz w:val="22"/>
          <w:szCs w:val="22"/>
        </w:rPr>
        <w:t>- Protocollo 3 (Gestione dei rapporti con i Consulenti) per quanto attiene la selezione dei consulenti legali e il rispetto da parte dei predetti dei dettami di cui al Codice Etico e al presente MOG 231;</w:t>
      </w:r>
      <w:r w:rsidR="00F9652F" w:rsidRPr="00EA3A78">
        <w:rPr>
          <w:sz w:val="22"/>
          <w:szCs w:val="22"/>
        </w:rPr>
        <w:t xml:space="preserve"> </w:t>
      </w:r>
    </w:p>
    <w:p w14:paraId="747AB83C" w14:textId="77777777" w:rsidR="00F9652F" w:rsidRDefault="00F9652F" w:rsidP="00F9652F">
      <w:pPr>
        <w:pStyle w:val="Default"/>
        <w:jc w:val="both"/>
        <w:rPr>
          <w:sz w:val="22"/>
          <w:szCs w:val="22"/>
        </w:rPr>
      </w:pPr>
      <w:r w:rsidRPr="00EA3A78">
        <w:rPr>
          <w:sz w:val="22"/>
          <w:szCs w:val="22"/>
        </w:rPr>
        <w:t xml:space="preserve">- Protocollo </w:t>
      </w:r>
      <w:r>
        <w:rPr>
          <w:sz w:val="22"/>
          <w:szCs w:val="22"/>
        </w:rPr>
        <w:t>4</w:t>
      </w:r>
      <w:r w:rsidRPr="00EA3A78">
        <w:rPr>
          <w:sz w:val="22"/>
          <w:szCs w:val="22"/>
        </w:rPr>
        <w:t xml:space="preserve"> (Anticorruzione e gestione dei rapporti con le PP.AA.) per quanto attiene</w:t>
      </w:r>
      <w:r>
        <w:rPr>
          <w:sz w:val="22"/>
          <w:szCs w:val="22"/>
        </w:rPr>
        <w:t>:</w:t>
      </w:r>
    </w:p>
    <w:p w14:paraId="22FAD853" w14:textId="6C7A9974" w:rsidR="00F9652F" w:rsidRDefault="00EF51C1" w:rsidP="00F9652F">
      <w:pPr>
        <w:pStyle w:val="Default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La gestione degli omaggi e delle regalie;</w:t>
      </w:r>
    </w:p>
    <w:p w14:paraId="4B06DDD3" w14:textId="0FEC9A4F" w:rsidR="00EF51C1" w:rsidRDefault="00EF51C1" w:rsidP="00F9652F">
      <w:pPr>
        <w:pStyle w:val="Default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La gestione dei rapporti con i clienti;</w:t>
      </w:r>
    </w:p>
    <w:p w14:paraId="0151253B" w14:textId="0A811F27" w:rsidR="00F9652F" w:rsidRPr="003B5D0E" w:rsidRDefault="00F9652F" w:rsidP="00F965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Protocollo </w:t>
      </w:r>
      <w:r w:rsidR="00FC4E5A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 xml:space="preserve"> (Gestione </w:t>
      </w:r>
      <w:r w:rsidR="00EF51C1">
        <w:rPr>
          <w:rFonts w:ascii="Arial" w:hAnsi="Arial" w:cs="Arial"/>
          <w:color w:val="000000"/>
        </w:rPr>
        <w:t>Risorse Umane</w:t>
      </w:r>
      <w:r>
        <w:rPr>
          <w:rFonts w:ascii="Arial" w:hAnsi="Arial" w:cs="Arial"/>
          <w:color w:val="000000"/>
        </w:rPr>
        <w:t xml:space="preserve">) </w:t>
      </w:r>
      <w:r w:rsidR="001E0FED">
        <w:rPr>
          <w:rFonts w:ascii="Arial" w:hAnsi="Arial" w:cs="Arial"/>
          <w:color w:val="000000"/>
        </w:rPr>
        <w:t xml:space="preserve">per quel che concerne </w:t>
      </w:r>
      <w:r w:rsidR="00EF51C1">
        <w:rPr>
          <w:rFonts w:ascii="Arial" w:hAnsi="Arial" w:cs="Arial"/>
          <w:color w:val="000000"/>
        </w:rPr>
        <w:t>la selezione delle risorse umane</w:t>
      </w:r>
    </w:p>
    <w:p w14:paraId="21517AEB" w14:textId="77777777" w:rsidR="00F9652F" w:rsidRDefault="00F9652F" w:rsidP="00EB555F">
      <w:pPr>
        <w:spacing w:line="360" w:lineRule="auto"/>
        <w:jc w:val="center"/>
        <w:outlineLvl w:val="0"/>
        <w:rPr>
          <w:smallCaps/>
          <w:sz w:val="28"/>
          <w:szCs w:val="28"/>
          <w:u w:val="single"/>
        </w:rPr>
      </w:pPr>
    </w:p>
    <w:p w14:paraId="1D538433" w14:textId="28035C1D" w:rsidR="00EF51C1" w:rsidRPr="00EF51C1" w:rsidRDefault="00EF51C1" w:rsidP="00EF51C1">
      <w:pPr>
        <w:pStyle w:val="Paragrafoelenco"/>
        <w:numPr>
          <w:ilvl w:val="0"/>
          <w:numId w:val="16"/>
        </w:numPr>
        <w:spacing w:line="360" w:lineRule="auto"/>
        <w:outlineLvl w:val="0"/>
        <w:rPr>
          <w:rFonts w:ascii="Arial" w:hAnsi="Arial" w:cs="Arial"/>
          <w:b/>
          <w:bCs/>
          <w:smallCaps/>
          <w:u w:val="single"/>
        </w:rPr>
      </w:pPr>
      <w:r w:rsidRPr="00EF51C1">
        <w:rPr>
          <w:rFonts w:ascii="Arial" w:hAnsi="Arial" w:cs="Arial"/>
          <w:b/>
          <w:bCs/>
        </w:rPr>
        <w:t>Procedure da applicare</w:t>
      </w:r>
    </w:p>
    <w:p w14:paraId="34D5B45A" w14:textId="6AC1868B" w:rsidR="00400335" w:rsidRDefault="00400335" w:rsidP="00C80068">
      <w:pPr>
        <w:spacing w:after="0" w:line="240" w:lineRule="atLeast"/>
        <w:outlineLvl w:val="0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L’articolo 25 </w:t>
      </w:r>
      <w:proofErr w:type="spellStart"/>
      <w:r w:rsidR="00B95E55" w:rsidRPr="00C80068">
        <w:rPr>
          <w:rFonts w:ascii="Arial" w:hAnsi="Arial" w:cs="Arial"/>
        </w:rPr>
        <w:t>decies</w:t>
      </w:r>
      <w:proofErr w:type="spellEnd"/>
      <w:r w:rsidRPr="00C80068">
        <w:rPr>
          <w:rFonts w:ascii="Arial" w:hAnsi="Arial" w:cs="Arial"/>
        </w:rPr>
        <w:t xml:space="preserve"> </w:t>
      </w:r>
      <w:proofErr w:type="spellStart"/>
      <w:r w:rsidRPr="00C80068">
        <w:rPr>
          <w:rFonts w:ascii="Arial" w:hAnsi="Arial" w:cs="Arial"/>
        </w:rPr>
        <w:t>D.Lgs</w:t>
      </w:r>
      <w:proofErr w:type="spellEnd"/>
      <w:r w:rsidRPr="00C80068">
        <w:rPr>
          <w:rFonts w:ascii="Arial" w:hAnsi="Arial" w:cs="Arial"/>
        </w:rPr>
        <w:t xml:space="preserve"> 231/2001 prevede come reati presupposto l</w:t>
      </w:r>
      <w:r w:rsidR="00B95E55" w:rsidRPr="00C80068">
        <w:rPr>
          <w:rFonts w:ascii="Arial" w:hAnsi="Arial" w:cs="Arial"/>
        </w:rPr>
        <w:t>a</w:t>
      </w:r>
      <w:r w:rsidRPr="00C80068">
        <w:rPr>
          <w:rFonts w:ascii="Arial" w:hAnsi="Arial" w:cs="Arial"/>
        </w:rPr>
        <w:t xml:space="preserve"> fattispecie previst</w:t>
      </w:r>
      <w:r w:rsidR="00B95E55" w:rsidRPr="00C80068">
        <w:rPr>
          <w:rFonts w:ascii="Arial" w:hAnsi="Arial" w:cs="Arial"/>
        </w:rPr>
        <w:t>a</w:t>
      </w:r>
      <w:r w:rsidRPr="00C80068">
        <w:rPr>
          <w:rFonts w:ascii="Arial" w:hAnsi="Arial" w:cs="Arial"/>
        </w:rPr>
        <w:t xml:space="preserve"> da</w:t>
      </w:r>
      <w:r w:rsidR="00B95E55" w:rsidRPr="00C80068">
        <w:rPr>
          <w:rFonts w:ascii="Arial" w:hAnsi="Arial" w:cs="Arial"/>
        </w:rPr>
        <w:t>ll’art. 377bis</w:t>
      </w:r>
      <w:r w:rsidRPr="00C80068">
        <w:rPr>
          <w:rFonts w:ascii="Arial" w:hAnsi="Arial" w:cs="Arial"/>
        </w:rPr>
        <w:t xml:space="preserve"> </w:t>
      </w:r>
      <w:proofErr w:type="spellStart"/>
      <w:r w:rsidRPr="00C80068">
        <w:rPr>
          <w:rFonts w:ascii="Arial" w:hAnsi="Arial" w:cs="Arial"/>
        </w:rPr>
        <w:t>cp</w:t>
      </w:r>
      <w:proofErr w:type="spellEnd"/>
      <w:r w:rsidR="007F512F" w:rsidRPr="00C80068">
        <w:rPr>
          <w:rFonts w:ascii="Arial" w:hAnsi="Arial" w:cs="Arial"/>
        </w:rPr>
        <w:t>.</w:t>
      </w:r>
      <w:r w:rsidR="00BA34A8" w:rsidRPr="00C80068">
        <w:rPr>
          <w:rFonts w:ascii="Arial" w:hAnsi="Arial" w:cs="Arial"/>
        </w:rPr>
        <w:t xml:space="preserve"> che punisce</w:t>
      </w:r>
      <w:r w:rsidR="00781CE2" w:rsidRPr="00C80068">
        <w:rPr>
          <w:rFonts w:ascii="Arial" w:hAnsi="Arial" w:cs="Arial"/>
          <w:color w:val="000000"/>
          <w:sz w:val="30"/>
          <w:szCs w:val="30"/>
        </w:rPr>
        <w:t xml:space="preserve"> </w:t>
      </w:r>
      <w:r w:rsidR="00BA34A8" w:rsidRPr="00C80068">
        <w:rPr>
          <w:rFonts w:ascii="Arial" w:hAnsi="Arial" w:cs="Arial"/>
        </w:rPr>
        <w:t xml:space="preserve">chiunque, con violenza o minaccia, o con offerta o promessa di denaro o di </w:t>
      </w:r>
      <w:proofErr w:type="spellStart"/>
      <w:r w:rsidR="00BA34A8" w:rsidRPr="00C80068">
        <w:rPr>
          <w:rFonts w:ascii="Arial" w:hAnsi="Arial" w:cs="Arial"/>
        </w:rPr>
        <w:t>altra</w:t>
      </w:r>
      <w:proofErr w:type="spellEnd"/>
      <w:r w:rsidR="00BA34A8" w:rsidRPr="00C80068">
        <w:rPr>
          <w:rFonts w:ascii="Arial" w:hAnsi="Arial" w:cs="Arial"/>
        </w:rPr>
        <w:t xml:space="preserve"> utilità, induce a non rendere dichiarazioni o a rendere dichiarazioni mendaci, quando questa ha la facoltà di non rispondere. </w:t>
      </w:r>
    </w:p>
    <w:p w14:paraId="7095D0E2" w14:textId="77777777" w:rsidR="00C80068" w:rsidRPr="00C80068" w:rsidRDefault="00C80068" w:rsidP="00C80068">
      <w:pPr>
        <w:spacing w:after="0" w:line="240" w:lineRule="atLeast"/>
        <w:outlineLvl w:val="0"/>
        <w:rPr>
          <w:rFonts w:ascii="Arial" w:hAnsi="Arial" w:cs="Arial"/>
          <w:b/>
          <w:bCs/>
          <w:smallCaps/>
          <w:sz w:val="28"/>
          <w:szCs w:val="28"/>
          <w:u w:val="single"/>
        </w:rPr>
      </w:pPr>
    </w:p>
    <w:p w14:paraId="0574BAEA" w14:textId="77777777" w:rsidR="00B95E55" w:rsidRDefault="00B95E55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Nell’ambito di un procedimento penale si può profilare la situazione di alcuni soggetti che, chiamati a rendere </w:t>
      </w:r>
      <w:proofErr w:type="spellStart"/>
      <w:r w:rsidRPr="00C80068">
        <w:rPr>
          <w:rFonts w:ascii="Arial" w:hAnsi="Arial" w:cs="Arial"/>
        </w:rPr>
        <w:t>nanti</w:t>
      </w:r>
      <w:proofErr w:type="spellEnd"/>
      <w:r w:rsidRPr="00C80068">
        <w:rPr>
          <w:rFonts w:ascii="Arial" w:hAnsi="Arial" w:cs="Arial"/>
        </w:rPr>
        <w:t xml:space="preserve"> l’Autorità Giudiziaria dichiarazioni, possono avvalersi della facoltà di non rispondere: può essere l’ipotesi dell’imputato, dell’indagato o imputato in procedimento penale connesso o collegato a cui la Legge riconosca la facoltà di tacere, ovvero alcune tipologie di testimoni, come ad esempio il caso previsto dall’art. 199 cpp del prossimo congiunto dell’imputato.</w:t>
      </w:r>
    </w:p>
    <w:p w14:paraId="1D2A1BC7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6A334ACB" w14:textId="77777777" w:rsidR="00B95E55" w:rsidRDefault="00B95E55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Orbene, il Legislatore contempla il diritto al silenzio come garanzia in favore di colui che sia chiamato a rendere dichiarazioni: l’eventualità per il soggetto di avvalersi o meno di tale facoltà deve costituire una scelta soggettiva libera della persona e non il risultato di pressioni esterne, condotte con violenza o minaccia, ovvero di attività di “corruzione” del dichiarante.</w:t>
      </w:r>
    </w:p>
    <w:p w14:paraId="6F0D450C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4CC938E5" w14:textId="6CF2546D" w:rsidR="00B95E55" w:rsidRPr="00C80068" w:rsidRDefault="00B95E55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Come risulta dal</w:t>
      </w:r>
      <w:r w:rsidR="00EF51C1" w:rsidRPr="00C80068">
        <w:rPr>
          <w:rFonts w:ascii="Arial" w:hAnsi="Arial" w:cs="Arial"/>
        </w:rPr>
        <w:t xml:space="preserve"> Risk </w:t>
      </w:r>
      <w:proofErr w:type="spellStart"/>
      <w:r w:rsidR="00EF51C1" w:rsidRPr="00C80068">
        <w:rPr>
          <w:rFonts w:ascii="Arial" w:hAnsi="Arial" w:cs="Arial"/>
        </w:rPr>
        <w:t>Assessment</w:t>
      </w:r>
      <w:proofErr w:type="spellEnd"/>
      <w:r w:rsidRPr="00C80068">
        <w:rPr>
          <w:rFonts w:ascii="Arial" w:hAnsi="Arial" w:cs="Arial"/>
        </w:rPr>
        <w:t xml:space="preserve">, </w:t>
      </w:r>
      <w:r w:rsidR="007D636F">
        <w:rPr>
          <w:rFonts w:ascii="Arial" w:hAnsi="Arial" w:cs="Arial"/>
        </w:rPr>
        <w:t xml:space="preserve">la </w:t>
      </w:r>
      <w:r w:rsidR="00FC4E5A">
        <w:rPr>
          <w:rFonts w:ascii="Arial" w:hAnsi="Arial" w:cs="Arial"/>
        </w:rPr>
        <w:t>Fondazione</w:t>
      </w:r>
      <w:r w:rsidR="00EF51C1" w:rsidRPr="00C80068">
        <w:rPr>
          <w:rFonts w:ascii="Arial" w:hAnsi="Arial" w:cs="Arial"/>
        </w:rPr>
        <w:t xml:space="preserve"> </w:t>
      </w:r>
      <w:r w:rsidRPr="00C80068">
        <w:rPr>
          <w:rFonts w:ascii="Arial" w:hAnsi="Arial" w:cs="Arial"/>
        </w:rPr>
        <w:t xml:space="preserve">non è esente da profili di rischio per tale reato: trattasi in vero di un’ipotesi remota ma, in ogni caso, possibile, </w:t>
      </w:r>
      <w:r w:rsidR="00BA34A8" w:rsidRPr="00C80068">
        <w:rPr>
          <w:rFonts w:ascii="Arial" w:hAnsi="Arial" w:cs="Arial"/>
        </w:rPr>
        <w:t>cosicché</w:t>
      </w:r>
      <w:r w:rsidRPr="00C80068">
        <w:rPr>
          <w:rFonts w:ascii="Arial" w:hAnsi="Arial" w:cs="Arial"/>
        </w:rPr>
        <w:t xml:space="preserve"> appare necessario dettare determinate regole per prevenire la commissione di tale illecito.</w:t>
      </w:r>
    </w:p>
    <w:p w14:paraId="5E98794A" w14:textId="77777777" w:rsidR="00B95E55" w:rsidRDefault="00B95E55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Le attività di acquisto del favore del soggetto chiamato a rendere dichiarazioni </w:t>
      </w:r>
      <w:proofErr w:type="spellStart"/>
      <w:r w:rsidRPr="00C80068">
        <w:rPr>
          <w:rFonts w:ascii="Arial" w:hAnsi="Arial" w:cs="Arial"/>
        </w:rPr>
        <w:t>nanti</w:t>
      </w:r>
      <w:proofErr w:type="spellEnd"/>
      <w:r w:rsidRPr="00C80068">
        <w:rPr>
          <w:rFonts w:ascii="Arial" w:hAnsi="Arial" w:cs="Arial"/>
        </w:rPr>
        <w:t xml:space="preserve"> all’Autorità Giudiziaria assomigliano, sotto il profilo materiale, alle attività di corruzione di soggetti pubblici e/o privati.</w:t>
      </w:r>
    </w:p>
    <w:p w14:paraId="1A09F05B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1A71EC65" w14:textId="68D4179A" w:rsidR="000A7D65" w:rsidRDefault="00B95E55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Si evince, quindi, che </w:t>
      </w:r>
      <w:r w:rsidR="00C80068" w:rsidRPr="00C80068">
        <w:rPr>
          <w:rFonts w:ascii="Arial" w:hAnsi="Arial" w:cs="Arial"/>
        </w:rPr>
        <w:t xml:space="preserve">alcune procedure dettate </w:t>
      </w:r>
      <w:r w:rsidRPr="00C80068">
        <w:rPr>
          <w:rFonts w:ascii="Arial" w:hAnsi="Arial" w:cs="Arial"/>
        </w:rPr>
        <w:t>per prevenire gli illeciti di corruzion</w:t>
      </w:r>
      <w:r w:rsidR="00D6099C" w:rsidRPr="00C80068">
        <w:rPr>
          <w:rFonts w:ascii="Arial" w:hAnsi="Arial" w:cs="Arial"/>
        </w:rPr>
        <w:t>e</w:t>
      </w:r>
      <w:r w:rsidRPr="00C80068">
        <w:rPr>
          <w:rFonts w:ascii="Arial" w:hAnsi="Arial" w:cs="Arial"/>
        </w:rPr>
        <w:t xml:space="preserve"> </w:t>
      </w:r>
      <w:r w:rsidR="00C80068" w:rsidRPr="00C80068">
        <w:rPr>
          <w:rFonts w:ascii="Arial" w:hAnsi="Arial" w:cs="Arial"/>
        </w:rPr>
        <w:t xml:space="preserve">nel protocollo di prevenzione n. </w:t>
      </w:r>
      <w:r w:rsidR="007D636F">
        <w:rPr>
          <w:rFonts w:ascii="Arial" w:hAnsi="Arial" w:cs="Arial"/>
        </w:rPr>
        <w:t>5</w:t>
      </w:r>
      <w:r w:rsidR="00C80068" w:rsidRPr="00C80068">
        <w:rPr>
          <w:rFonts w:ascii="Arial" w:hAnsi="Arial" w:cs="Arial"/>
        </w:rPr>
        <w:t xml:space="preserve"> (e indicate nel </w:t>
      </w:r>
      <w:r w:rsidR="001E0FED">
        <w:rPr>
          <w:rFonts w:ascii="Arial" w:hAnsi="Arial" w:cs="Arial"/>
        </w:rPr>
        <w:t xml:space="preserve">Risk </w:t>
      </w:r>
      <w:proofErr w:type="spellStart"/>
      <w:r w:rsidR="00C80068" w:rsidRPr="00C80068">
        <w:rPr>
          <w:rFonts w:ascii="Arial" w:hAnsi="Arial" w:cs="Arial"/>
        </w:rPr>
        <w:t>Assessment</w:t>
      </w:r>
      <w:proofErr w:type="spellEnd"/>
      <w:r w:rsidR="00C80068" w:rsidRPr="00C80068">
        <w:rPr>
          <w:rFonts w:ascii="Arial" w:hAnsi="Arial" w:cs="Arial"/>
        </w:rPr>
        <w:t xml:space="preserve">) </w:t>
      </w:r>
      <w:r w:rsidR="00D6099C" w:rsidRPr="00C80068">
        <w:rPr>
          <w:rFonts w:ascii="Arial" w:hAnsi="Arial" w:cs="Arial"/>
        </w:rPr>
        <w:t>ove rispettat</w:t>
      </w:r>
      <w:r w:rsidR="00C80068" w:rsidRPr="00C80068">
        <w:rPr>
          <w:rFonts w:ascii="Arial" w:hAnsi="Arial" w:cs="Arial"/>
        </w:rPr>
        <w:t>e</w:t>
      </w:r>
      <w:r w:rsidR="00D6099C" w:rsidRPr="00C80068">
        <w:rPr>
          <w:rFonts w:ascii="Arial" w:hAnsi="Arial" w:cs="Arial"/>
        </w:rPr>
        <w:t xml:space="preserve"> possono prevenire anche tale tipologia di illecito</w:t>
      </w:r>
      <w:r w:rsidR="00FF6DA4" w:rsidRPr="00C80068">
        <w:rPr>
          <w:rFonts w:ascii="Arial" w:hAnsi="Arial" w:cs="Arial"/>
        </w:rPr>
        <w:t>.</w:t>
      </w:r>
    </w:p>
    <w:p w14:paraId="35DE3726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1F86905F" w14:textId="77777777" w:rsidR="00D6099C" w:rsidRPr="00C80068" w:rsidRDefault="00D6099C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Quindi, adeguando chiaramente le regole già enunciate alla particolare tipologia di illecito oggetto di analisi, si impongono le seguenti direttive comportamentali: </w:t>
      </w:r>
    </w:p>
    <w:p w14:paraId="085D5067" w14:textId="654E1CB3" w:rsidR="00D6099C" w:rsidRPr="00C80068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nei rapporti con persone chiamate a rendere dichiarazioni </w:t>
      </w:r>
      <w:r w:rsidR="00FF6DA4" w:rsidRPr="00C80068">
        <w:rPr>
          <w:rFonts w:ascii="Arial" w:hAnsi="Arial" w:cs="Arial"/>
        </w:rPr>
        <w:t>dinanzi</w:t>
      </w:r>
      <w:r w:rsidRPr="00C80068">
        <w:rPr>
          <w:rFonts w:ascii="Arial" w:hAnsi="Arial" w:cs="Arial"/>
        </w:rPr>
        <w:t xml:space="preserve"> </w:t>
      </w:r>
      <w:r w:rsidR="00FF6DA4" w:rsidRPr="00C80068">
        <w:rPr>
          <w:rFonts w:ascii="Arial" w:hAnsi="Arial" w:cs="Arial"/>
        </w:rPr>
        <w:t>al</w:t>
      </w:r>
      <w:r w:rsidRPr="00C80068">
        <w:rPr>
          <w:rFonts w:ascii="Arial" w:hAnsi="Arial" w:cs="Arial"/>
        </w:rPr>
        <w:t xml:space="preserve">l’Autorità Giudiziaria penale, nell’ambito di processi a cui </w:t>
      </w:r>
      <w:r w:rsidR="007D636F">
        <w:rPr>
          <w:rFonts w:ascii="Arial" w:hAnsi="Arial" w:cs="Arial"/>
        </w:rPr>
        <w:t xml:space="preserve">la </w:t>
      </w:r>
      <w:r w:rsidR="00FC4E5A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 xml:space="preserve">, è posto divieto assoluto a tutti coloro che operano nell’ambito della </w:t>
      </w:r>
      <w:r w:rsidR="007D636F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 xml:space="preserve"> di intrattenersi con tale persona con suggestioni o pressioni tali da indurla artatamente ad avvalersi del diritto al silenzio ovvero da alterare i di lei ricordi ovvero sì da ottenere una deposizione compiacente;</w:t>
      </w:r>
    </w:p>
    <w:p w14:paraId="7EE22242" w14:textId="77777777" w:rsidR="00D6099C" w:rsidRPr="00C80068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è posto divieto assoluto di offrire a tale soggetto, denaro e/o altre utilità per ottenere deposizioni compiacenti ovvero per ottenere il silenzio;</w:t>
      </w:r>
    </w:p>
    <w:p w14:paraId="44492993" w14:textId="77777777" w:rsidR="00D6099C" w:rsidRPr="00C80068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nei confronti di tale soggetto non è possibile procedere neanche a regalie di infimo valore economico, onde evitare anche il solo mero sospetto d</w:t>
      </w:r>
      <w:r w:rsidR="00A93D07" w:rsidRPr="00C80068">
        <w:rPr>
          <w:rFonts w:ascii="Arial" w:hAnsi="Arial" w:cs="Arial"/>
        </w:rPr>
        <w:t>i indebite pressioni su di essi;</w:t>
      </w:r>
    </w:p>
    <w:p w14:paraId="45CCBFF3" w14:textId="13A767D1" w:rsidR="00D6099C" w:rsidRPr="00C80068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per quanto concerne le attività di assunzione di personale,</w:t>
      </w:r>
      <w:r w:rsidR="007D636F">
        <w:rPr>
          <w:rFonts w:ascii="Arial" w:hAnsi="Arial" w:cs="Arial"/>
        </w:rPr>
        <w:t xml:space="preserve"> </w:t>
      </w:r>
      <w:r w:rsidRPr="00C80068">
        <w:rPr>
          <w:rFonts w:ascii="Arial" w:hAnsi="Arial" w:cs="Arial"/>
        </w:rPr>
        <w:t>si richiama quanto stabilito ne</w:t>
      </w:r>
      <w:r w:rsidR="00C80068" w:rsidRPr="00C80068">
        <w:rPr>
          <w:rFonts w:ascii="Arial" w:hAnsi="Arial" w:cs="Arial"/>
        </w:rPr>
        <w:t xml:space="preserve">i protocolli </w:t>
      </w:r>
      <w:r w:rsidR="007D636F">
        <w:rPr>
          <w:rFonts w:ascii="Arial" w:hAnsi="Arial" w:cs="Arial"/>
        </w:rPr>
        <w:t>5</w:t>
      </w:r>
      <w:r w:rsidR="00C80068" w:rsidRPr="00C80068">
        <w:rPr>
          <w:rFonts w:ascii="Arial" w:hAnsi="Arial" w:cs="Arial"/>
        </w:rPr>
        <w:t xml:space="preserve"> e </w:t>
      </w:r>
      <w:r w:rsidR="007D636F">
        <w:rPr>
          <w:rFonts w:ascii="Arial" w:hAnsi="Arial" w:cs="Arial"/>
        </w:rPr>
        <w:t>8</w:t>
      </w:r>
      <w:r w:rsidRPr="00C80068">
        <w:rPr>
          <w:rFonts w:ascii="Arial" w:hAnsi="Arial" w:cs="Arial"/>
        </w:rPr>
        <w:t>;</w:t>
      </w:r>
    </w:p>
    <w:p w14:paraId="5AEC950F" w14:textId="77C3DCD3" w:rsidR="00D6099C" w:rsidRPr="00C80068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per quanto concerne la politica di sconto alla clientela ovvero di tolleranza degli inadempimenti, si richiamano i principi enunciati </w:t>
      </w:r>
      <w:r w:rsidR="00BA34A8" w:rsidRPr="00C80068">
        <w:rPr>
          <w:rFonts w:ascii="Arial" w:hAnsi="Arial" w:cs="Arial"/>
        </w:rPr>
        <w:t xml:space="preserve">al protocollo </w:t>
      </w:r>
      <w:r w:rsidR="007D636F">
        <w:rPr>
          <w:rFonts w:ascii="Arial" w:hAnsi="Arial" w:cs="Arial"/>
        </w:rPr>
        <w:t>5</w:t>
      </w:r>
      <w:r w:rsidRPr="00C80068">
        <w:rPr>
          <w:rFonts w:ascii="Arial" w:hAnsi="Arial" w:cs="Arial"/>
        </w:rPr>
        <w:t>;</w:t>
      </w:r>
    </w:p>
    <w:p w14:paraId="411F3ABD" w14:textId="3E303E74" w:rsidR="00D6099C" w:rsidRDefault="00D6099C" w:rsidP="00C80068">
      <w:pPr>
        <w:pStyle w:val="Paragrafoelenco"/>
        <w:numPr>
          <w:ilvl w:val="0"/>
          <w:numId w:val="6"/>
        </w:num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per quanto concerne la prevenzione del rischio di formazione di “fondi neri”, da impiegarsi per attività corruttive, si richiama il protocollo </w:t>
      </w:r>
      <w:r w:rsidR="00441025">
        <w:rPr>
          <w:rFonts w:ascii="Arial" w:hAnsi="Arial" w:cs="Arial"/>
        </w:rPr>
        <w:t>2, paragrafo 1.6)</w:t>
      </w:r>
      <w:r w:rsidR="00C80068" w:rsidRPr="00C80068">
        <w:rPr>
          <w:rFonts w:ascii="Arial" w:hAnsi="Arial" w:cs="Arial"/>
        </w:rPr>
        <w:t>.</w:t>
      </w:r>
    </w:p>
    <w:p w14:paraId="11735DD4" w14:textId="77777777" w:rsidR="00C80068" w:rsidRPr="00C80068" w:rsidRDefault="00C80068" w:rsidP="001E0FED">
      <w:pPr>
        <w:pStyle w:val="Paragrafoelenco"/>
        <w:spacing w:after="0" w:line="240" w:lineRule="atLeast"/>
        <w:ind w:left="360"/>
        <w:jc w:val="both"/>
        <w:rPr>
          <w:rFonts w:ascii="Arial" w:hAnsi="Arial" w:cs="Arial"/>
        </w:rPr>
      </w:pPr>
    </w:p>
    <w:p w14:paraId="661D39C7" w14:textId="77777777" w:rsidR="00D6099C" w:rsidRDefault="00D6099C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Le generali regole di sicurezza, volte a prevenire il fenomeno della corruzione, ben possono, ove chiaramente applicabili, prevenire anche la tipologia di reato oggetto di analisi, almeno per quanto concerne </w:t>
      </w:r>
      <w:r w:rsidR="00291720" w:rsidRPr="00C80068">
        <w:rPr>
          <w:rFonts w:ascii="Arial" w:hAnsi="Arial" w:cs="Arial"/>
        </w:rPr>
        <w:t>l’integrazione dello stesso a mezzo di offerta di denaro o di altre utilità.</w:t>
      </w:r>
    </w:p>
    <w:p w14:paraId="56B60C0C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0A3E6E53" w14:textId="636E3E36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Per quanto invece concerne le pressioni esercitate su tali soggetti con minacce o violenza, si richiama il contenuto del protocollo </w:t>
      </w:r>
      <w:r w:rsidR="007D636F">
        <w:rPr>
          <w:rFonts w:ascii="Arial" w:hAnsi="Arial" w:cs="Arial"/>
        </w:rPr>
        <w:t>11</w:t>
      </w:r>
      <w:r w:rsidRPr="00C80068">
        <w:rPr>
          <w:rFonts w:ascii="Arial" w:hAnsi="Arial" w:cs="Arial"/>
        </w:rPr>
        <w:t xml:space="preserve">, che forniva regole di comportamento atte </w:t>
      </w:r>
      <w:proofErr w:type="gramStart"/>
      <w:r w:rsidRPr="00C80068">
        <w:rPr>
          <w:rFonts w:ascii="Arial" w:hAnsi="Arial" w:cs="Arial"/>
        </w:rPr>
        <w:t>ad</w:t>
      </w:r>
      <w:proofErr w:type="gramEnd"/>
      <w:r w:rsidRPr="00C80068">
        <w:rPr>
          <w:rFonts w:ascii="Arial" w:hAnsi="Arial" w:cs="Arial"/>
        </w:rPr>
        <w:t xml:space="preserve"> garantire il radicamento, </w:t>
      </w:r>
      <w:r w:rsidR="007D636F">
        <w:rPr>
          <w:rFonts w:ascii="Arial" w:hAnsi="Arial" w:cs="Arial"/>
        </w:rPr>
        <w:t>nella</w:t>
      </w:r>
      <w:r w:rsidR="00C80068" w:rsidRPr="00C80068">
        <w:rPr>
          <w:rFonts w:ascii="Arial" w:hAnsi="Arial" w:cs="Arial"/>
        </w:rPr>
        <w:t xml:space="preserve"> </w:t>
      </w:r>
      <w:r w:rsidR="00FC4E5A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>, della cultura della pacifica convivenza e della non violenza.</w:t>
      </w:r>
    </w:p>
    <w:p w14:paraId="0DC499F5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181B1044" w14:textId="7926C718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Chiunque, quindi, all’interno della </w:t>
      </w:r>
      <w:r w:rsidR="007D636F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>, operi, progetti di operare, manifesti l’intenzione di operare o, comunque, istighi terzi ad operare atti di violenza o minaccia contro altre persone, per ragioni attinenti alla gestione dei contenziosi giudiziari, incorrerà in profili di grave responsabilità e, quindi, dovrà essere rimosso subito dalla compagine aziendale.</w:t>
      </w:r>
    </w:p>
    <w:p w14:paraId="70110178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614BB753" w14:textId="6BDE8B3F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Analogamente non saranno tollerate all’interno della </w:t>
      </w:r>
      <w:r w:rsidR="007D636F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 xml:space="preserve"> comportamenti ed esternazioni di pensiero che possano anche solo ingenerare l’idea che la violenza e la minaccia costituiscano componente integrante dell’attività lavorativa in </w:t>
      </w:r>
      <w:r w:rsidR="00FC4E5A">
        <w:rPr>
          <w:rFonts w:ascii="Arial" w:hAnsi="Arial" w:cs="Arial"/>
        </w:rPr>
        <w:t>Fondazione</w:t>
      </w:r>
      <w:r w:rsidR="00C80068" w:rsidRPr="00C80068">
        <w:rPr>
          <w:rFonts w:ascii="Arial" w:hAnsi="Arial" w:cs="Arial"/>
        </w:rPr>
        <w:t>.</w:t>
      </w:r>
    </w:p>
    <w:p w14:paraId="57DF6633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30C4D4F4" w14:textId="04A74441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lastRenderedPageBreak/>
        <w:t xml:space="preserve">Del pari, al fine di radicare presso la </w:t>
      </w:r>
      <w:r w:rsidR="007D636F">
        <w:rPr>
          <w:rFonts w:ascii="Arial" w:hAnsi="Arial" w:cs="Arial"/>
        </w:rPr>
        <w:t>Fondazione</w:t>
      </w:r>
      <w:r w:rsidRPr="00C80068">
        <w:rPr>
          <w:rFonts w:ascii="Arial" w:hAnsi="Arial" w:cs="Arial"/>
        </w:rPr>
        <w:t xml:space="preserve"> la cultura della pacifica convivenza e frustrare sul nascere ogni idea divergente da tale valore, sarà sanzionato ogni comportamento violento, minatorio, contro chiunque esso sia diretto, ed ogni esternazione di idee ispirate a violenza.</w:t>
      </w:r>
    </w:p>
    <w:p w14:paraId="0759B142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0A2A5A67" w14:textId="6B518265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Tutti i soggetti operanti in </w:t>
      </w:r>
      <w:r w:rsidR="00FC4E5A">
        <w:rPr>
          <w:rFonts w:ascii="Arial" w:hAnsi="Arial" w:cs="Arial"/>
        </w:rPr>
        <w:t>Fondazione</w:t>
      </w:r>
      <w:r w:rsidR="00C80068" w:rsidRPr="00C80068">
        <w:rPr>
          <w:rFonts w:ascii="Arial" w:hAnsi="Arial" w:cs="Arial"/>
        </w:rPr>
        <w:t xml:space="preserve">, </w:t>
      </w:r>
      <w:r w:rsidRPr="00C80068">
        <w:rPr>
          <w:rFonts w:ascii="Arial" w:hAnsi="Arial" w:cs="Arial"/>
        </w:rPr>
        <w:t>inoltre, devono astenersi, anche nella propria vita privata, da ogni comportamento che possa anche solo ingenerare presso la collettività la convinzione che il personale aziendale sia costituito da soggetti facinorosi, propensi a conseguire le proprie finalità e quelle dell’impresa mediante il passaggio a vie di fatto.</w:t>
      </w:r>
    </w:p>
    <w:p w14:paraId="58C1E8B7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15DAD905" w14:textId="77777777" w:rsidR="00291720" w:rsidRDefault="00291720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>Comportamenti ed esternazioni di pensiero divergenti rispetto ai valori di pacifica convivenza, tolleranza, non violenza, legalità, etc. verranno quindi puniti come illeciti disciplinari o inadempimenti contrattuali.</w:t>
      </w:r>
    </w:p>
    <w:p w14:paraId="67E72072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3FEF0ECC" w14:textId="7D9F4CA3" w:rsid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  <w:r w:rsidRPr="00C80068">
        <w:rPr>
          <w:rFonts w:ascii="Arial" w:hAnsi="Arial" w:cs="Arial"/>
        </w:rPr>
        <w:t xml:space="preserve">Quanto sopra esposto vale anche per il Consulente Legale nominato da </w:t>
      </w:r>
      <w:r w:rsidR="00FC4E5A">
        <w:rPr>
          <w:rFonts w:ascii="Arial" w:hAnsi="Arial" w:cs="Arial"/>
        </w:rPr>
        <w:t>Fondazione</w:t>
      </w:r>
      <w:r>
        <w:rPr>
          <w:rFonts w:ascii="Arial" w:hAnsi="Arial" w:cs="Arial"/>
        </w:rPr>
        <w:t>.</w:t>
      </w:r>
    </w:p>
    <w:p w14:paraId="7F1DD00C" w14:textId="77777777" w:rsid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21D9FC9D" w14:textId="77777777" w:rsidR="00C80068" w:rsidRPr="00C80068" w:rsidRDefault="00C80068" w:rsidP="00C80068">
      <w:pPr>
        <w:spacing w:after="0" w:line="240" w:lineRule="atLeast"/>
        <w:jc w:val="both"/>
        <w:rPr>
          <w:rFonts w:ascii="Arial" w:hAnsi="Arial" w:cs="Arial"/>
        </w:rPr>
      </w:pPr>
    </w:p>
    <w:p w14:paraId="673BB21E" w14:textId="4A50DBFF" w:rsidR="00946846" w:rsidRPr="00C80068" w:rsidRDefault="00946846" w:rsidP="00C8006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80068">
        <w:rPr>
          <w:rFonts w:ascii="Arial" w:hAnsi="Arial" w:cs="Arial"/>
          <w:b/>
          <w:bCs/>
          <w:color w:val="000000"/>
        </w:rPr>
        <w:t xml:space="preserve">Attività dell’ODV </w:t>
      </w:r>
    </w:p>
    <w:p w14:paraId="782D1504" w14:textId="77777777" w:rsidR="00946846" w:rsidRPr="00EA3A78" w:rsidRDefault="00946846" w:rsidP="00946846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2F80167" w14:textId="31073A47" w:rsidR="00946846" w:rsidRDefault="00946846" w:rsidP="00C800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B5D0E">
        <w:rPr>
          <w:rFonts w:ascii="Arial" w:hAnsi="Arial" w:cs="Arial"/>
          <w:color w:val="000000"/>
        </w:rPr>
        <w:t>Premessi i generali poteri di iniziativa e controllo, l’ODV ha facoltà verificare la corretta applicazione delle Procedure sopra indicat</w:t>
      </w:r>
      <w:r w:rsidR="00C80068">
        <w:rPr>
          <w:rFonts w:ascii="Arial" w:hAnsi="Arial" w:cs="Arial"/>
          <w:color w:val="000000"/>
        </w:rPr>
        <w:t>e.</w:t>
      </w:r>
      <w:r w:rsidRPr="003B5D0E">
        <w:rPr>
          <w:rFonts w:ascii="Arial" w:hAnsi="Arial" w:cs="Arial"/>
          <w:color w:val="000000"/>
        </w:rPr>
        <w:t xml:space="preserve"> </w:t>
      </w:r>
    </w:p>
    <w:p w14:paraId="5F5AC846" w14:textId="77777777" w:rsidR="00946846" w:rsidRPr="00EA3A78" w:rsidRDefault="00946846" w:rsidP="00946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8C208EF" w14:textId="77777777" w:rsidR="00946846" w:rsidRDefault="00946846" w:rsidP="00946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B88A1B" w14:textId="77777777" w:rsidR="00946846" w:rsidRPr="003B5D0E" w:rsidRDefault="00946846" w:rsidP="00946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E96FFB4" w14:textId="77777777" w:rsidR="00946846" w:rsidRPr="00EA3A78" w:rsidRDefault="00946846" w:rsidP="00C8006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EA3A78">
        <w:rPr>
          <w:rFonts w:ascii="Arial" w:hAnsi="Arial" w:cs="Arial"/>
          <w:b/>
          <w:bCs/>
          <w:color w:val="000000"/>
        </w:rPr>
        <w:t xml:space="preserve">Disposizioni Finali </w:t>
      </w:r>
    </w:p>
    <w:p w14:paraId="61DC8AAF" w14:textId="77777777" w:rsidR="00946846" w:rsidRPr="00EA3A78" w:rsidRDefault="00946846" w:rsidP="00946846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4C143CC" w14:textId="77777777" w:rsidR="00946846" w:rsidRPr="003B5D0E" w:rsidRDefault="00946846" w:rsidP="00946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B5D0E">
        <w:rPr>
          <w:rFonts w:ascii="Arial" w:hAnsi="Arial" w:cs="Arial"/>
          <w:color w:val="000000"/>
        </w:rPr>
        <w:t xml:space="preserve">Tutte le funzioni aziendali coinvolte hanno la responsabilità di osservare e far osservare il contenuto del presente protocollo. </w:t>
      </w:r>
    </w:p>
    <w:p w14:paraId="6552DC59" w14:textId="77777777" w:rsidR="00946846" w:rsidRPr="003B5D0E" w:rsidRDefault="00946846" w:rsidP="009468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B5D0E">
        <w:rPr>
          <w:rFonts w:ascii="Arial" w:hAnsi="Arial" w:cs="Arial"/>
          <w:color w:val="000000"/>
        </w:rPr>
        <w:t>Ciascun Destinatario è tenuto a comunicare tempestivamente all’ODV</w:t>
      </w:r>
      <w:r>
        <w:rPr>
          <w:rFonts w:ascii="Arial" w:hAnsi="Arial" w:cs="Arial"/>
          <w:color w:val="000000"/>
        </w:rPr>
        <w:t xml:space="preserve"> </w:t>
      </w:r>
      <w:r w:rsidRPr="003B5D0E">
        <w:rPr>
          <w:rFonts w:ascii="Arial" w:hAnsi="Arial" w:cs="Arial"/>
          <w:color w:val="000000"/>
        </w:rPr>
        <w:t xml:space="preserve">ogni anomalia rilevabile in relazione a quanto previsto dal presente protocollo. </w:t>
      </w:r>
    </w:p>
    <w:p w14:paraId="36DC2A1C" w14:textId="77777777" w:rsidR="00946846" w:rsidRDefault="00946846" w:rsidP="00946846">
      <w:pPr>
        <w:jc w:val="both"/>
        <w:rPr>
          <w:rFonts w:ascii="Arial" w:hAnsi="Arial" w:cs="Arial"/>
          <w:color w:val="000000"/>
        </w:rPr>
      </w:pPr>
      <w:r w:rsidRPr="00EA3A78">
        <w:rPr>
          <w:rFonts w:ascii="Arial" w:hAnsi="Arial" w:cs="Arial"/>
          <w:color w:val="000000"/>
        </w:rPr>
        <w:t>La violazione del presente protocollo e dei suoi obblighi di comunicazione costituisce violazione del MOG231 e illecito disciplinare passibile di sanzione ai sensi di legge e del contratto collettivo nazionale di lavoro applicabile.</w:t>
      </w:r>
    </w:p>
    <w:p w14:paraId="37483D9A" w14:textId="77777777" w:rsidR="00946846" w:rsidRPr="0098714B" w:rsidRDefault="00946846" w:rsidP="00946846">
      <w:pPr>
        <w:keepNext/>
        <w:keepLines/>
        <w:spacing w:after="40" w:line="240" w:lineRule="auto"/>
        <w:ind w:right="-2"/>
        <w:outlineLvl w:val="0"/>
        <w:rPr>
          <w:rFonts w:ascii="Arial" w:eastAsia="SimSun" w:hAnsi="Arial" w:cs="Arial"/>
          <w:color w:val="1F4E79"/>
          <w:sz w:val="36"/>
          <w:szCs w:val="36"/>
          <w:lang w:eastAsia="it-IT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4"/>
      </w:tblGrid>
      <w:tr w:rsidR="00D169CA" w:rsidRPr="0098714B" w14:paraId="0C326E2D" w14:textId="77777777" w:rsidTr="00E14C9C">
        <w:trPr>
          <w:cantSplit/>
          <w:trHeight w:val="433"/>
        </w:trPr>
        <w:tc>
          <w:tcPr>
            <w:tcW w:w="8664" w:type="dxa"/>
            <w:tcBorders>
              <w:bottom w:val="nil"/>
            </w:tcBorders>
          </w:tcPr>
          <w:p w14:paraId="69701715" w14:textId="7F7D57E4" w:rsidR="00D169CA" w:rsidRPr="005A2C36" w:rsidRDefault="00D169CA" w:rsidP="00D169CA">
            <w:pPr>
              <w:keepNext/>
              <w:ind w:right="-2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5657C4">
              <w:rPr>
                <w:rFonts w:ascii="Arial" w:eastAsia="SimSun" w:hAnsi="Arial" w:cs="Arial"/>
                <w:sz w:val="36"/>
                <w:szCs w:val="36"/>
              </w:rPr>
              <w:t>Stato delle revisioni</w:t>
            </w:r>
          </w:p>
        </w:tc>
      </w:tr>
      <w:tr w:rsidR="00D169CA" w:rsidRPr="0098714B" w14:paraId="3806F656" w14:textId="77777777" w:rsidTr="00E14C9C">
        <w:trPr>
          <w:cantSplit/>
          <w:trHeight w:val="576"/>
        </w:trPr>
        <w:tc>
          <w:tcPr>
            <w:tcW w:w="8664" w:type="dxa"/>
          </w:tcPr>
          <w:tbl>
            <w:tblPr>
              <w:tblW w:w="86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64"/>
            </w:tblGrid>
            <w:tr w:rsidR="00D169CA" w:rsidRPr="005657C4" w14:paraId="62844574" w14:textId="77777777" w:rsidTr="00D169CA">
              <w:trPr>
                <w:cantSplit/>
                <w:trHeight w:val="433"/>
              </w:trPr>
              <w:tc>
                <w:tcPr>
                  <w:tcW w:w="8664" w:type="dxa"/>
                  <w:tcBorders>
                    <w:bottom w:val="nil"/>
                  </w:tcBorders>
                  <w:vAlign w:val="center"/>
                </w:tcPr>
                <w:p w14:paraId="044B9448" w14:textId="77777777" w:rsidR="00D169CA" w:rsidRPr="005657C4" w:rsidRDefault="00D169CA" w:rsidP="00D169CA">
                  <w:pPr>
                    <w:keepNext/>
                    <w:ind w:right="-2"/>
                    <w:rPr>
                      <w:rFonts w:ascii="Arial" w:hAnsi="Arial" w:cs="Arial"/>
                      <w:b/>
                      <w:i/>
                    </w:rPr>
                  </w:pPr>
                  <w:r w:rsidRPr="005657C4">
                    <w:rPr>
                      <w:rFonts w:ascii="Arial" w:hAnsi="Arial" w:cs="Arial"/>
                      <w:b/>
                      <w:i/>
                    </w:rPr>
                    <w:t>Descrizione</w:t>
                  </w:r>
                </w:p>
              </w:tc>
            </w:tr>
            <w:tr w:rsidR="00D169CA" w:rsidRPr="005657C4" w14:paraId="6E05C77E" w14:textId="77777777" w:rsidTr="00D169CA">
              <w:trPr>
                <w:cantSplit/>
                <w:trHeight w:val="576"/>
              </w:trPr>
              <w:tc>
                <w:tcPr>
                  <w:tcW w:w="8664" w:type="dxa"/>
                  <w:vAlign w:val="center"/>
                </w:tcPr>
                <w:p w14:paraId="07694EEE" w14:textId="2E52DD9F" w:rsidR="00D169CA" w:rsidRPr="005657C4" w:rsidRDefault="00D169CA" w:rsidP="00D169CA">
                  <w:pPr>
                    <w:spacing w:after="60"/>
                    <w:ind w:right="-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PRIMA EMISSIONE</w:t>
                  </w:r>
                  <w:r w:rsidRPr="005657C4">
                    <w:rPr>
                      <w:rFonts w:ascii="Arial" w:hAnsi="Arial" w:cs="Arial"/>
                    </w:rPr>
                    <w:t xml:space="preserve"> DEL 14/11/2023 – DEL. </w:t>
                  </w:r>
                  <w:proofErr w:type="spellStart"/>
                  <w:r w:rsidRPr="005657C4">
                    <w:rPr>
                      <w:rFonts w:ascii="Arial" w:hAnsi="Arial" w:cs="Arial"/>
                    </w:rPr>
                    <w:t>CdA</w:t>
                  </w:r>
                  <w:proofErr w:type="spellEnd"/>
                  <w:r w:rsidRPr="005657C4">
                    <w:rPr>
                      <w:rFonts w:ascii="Arial" w:hAnsi="Arial" w:cs="Arial"/>
                    </w:rPr>
                    <w:t xml:space="preserve"> N. 2</w:t>
                  </w:r>
                </w:p>
              </w:tc>
            </w:tr>
          </w:tbl>
          <w:p w14:paraId="05B97D42" w14:textId="06A1B28E" w:rsidR="00D169CA" w:rsidRPr="0098714B" w:rsidRDefault="00D169CA" w:rsidP="00D169CA">
            <w:pPr>
              <w:spacing w:after="60"/>
              <w:ind w:right="-2"/>
              <w:jc w:val="both"/>
              <w:rPr>
                <w:rFonts w:ascii="Arial" w:eastAsia="Times New Roman" w:hAnsi="Arial" w:cs="Arial"/>
                <w:sz w:val="14"/>
                <w:lang w:eastAsia="it-IT"/>
              </w:rPr>
            </w:pPr>
          </w:p>
        </w:tc>
      </w:tr>
    </w:tbl>
    <w:p w14:paraId="7E252545" w14:textId="77777777" w:rsidR="00946846" w:rsidRPr="00EA3A78" w:rsidRDefault="00946846" w:rsidP="00946846">
      <w:pPr>
        <w:jc w:val="both"/>
        <w:rPr>
          <w:rFonts w:ascii="Arial" w:hAnsi="Arial" w:cs="Arial"/>
        </w:rPr>
      </w:pPr>
    </w:p>
    <w:p w14:paraId="07C43FC1" w14:textId="77777777" w:rsidR="00291720" w:rsidRPr="007E4DA5" w:rsidRDefault="00291720" w:rsidP="00EB555F">
      <w:pPr>
        <w:spacing w:line="360" w:lineRule="auto"/>
        <w:jc w:val="both"/>
        <w:rPr>
          <w:rFonts w:cstheme="minorHAnsi"/>
          <w:color w:val="FF0000"/>
        </w:rPr>
      </w:pPr>
    </w:p>
    <w:p w14:paraId="0ECE85AA" w14:textId="77777777" w:rsidR="00D6099C" w:rsidRPr="00EB555F" w:rsidRDefault="00D6099C" w:rsidP="00EB555F">
      <w:pPr>
        <w:spacing w:line="360" w:lineRule="auto"/>
        <w:jc w:val="both"/>
        <w:rPr>
          <w:rFonts w:cstheme="minorHAnsi"/>
        </w:rPr>
      </w:pPr>
    </w:p>
    <w:sectPr w:rsidR="00D6099C" w:rsidRPr="00EB555F" w:rsidSect="00B523F4">
      <w:footerReference w:type="default" r:id="rId9"/>
      <w:pgSz w:w="11906" w:h="16838"/>
      <w:pgMar w:top="252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6727C" w14:textId="77777777" w:rsidR="00B523F4" w:rsidRDefault="00B523F4" w:rsidP="0014789C">
      <w:pPr>
        <w:spacing w:after="0" w:line="240" w:lineRule="auto"/>
      </w:pPr>
      <w:r>
        <w:separator/>
      </w:r>
    </w:p>
  </w:endnote>
  <w:endnote w:type="continuationSeparator" w:id="0">
    <w:p w14:paraId="463309AF" w14:textId="77777777" w:rsidR="00B523F4" w:rsidRDefault="00B523F4" w:rsidP="0014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427A" w14:textId="2394A564" w:rsidR="00D6099C" w:rsidRPr="004B2075" w:rsidRDefault="00D6099C">
    <w:pPr>
      <w:pStyle w:val="Pidipagina"/>
      <w:jc w:val="right"/>
      <w:rPr>
        <w:rFonts w:ascii="Bookman Old Style" w:hAnsi="Bookman Old Style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5318" w14:textId="77777777" w:rsidR="00B523F4" w:rsidRDefault="00B523F4" w:rsidP="0014789C">
      <w:pPr>
        <w:spacing w:after="0" w:line="240" w:lineRule="auto"/>
      </w:pPr>
      <w:r>
        <w:separator/>
      </w:r>
    </w:p>
  </w:footnote>
  <w:footnote w:type="continuationSeparator" w:id="0">
    <w:p w14:paraId="68FB49F2" w14:textId="77777777" w:rsidR="00B523F4" w:rsidRDefault="00B523F4" w:rsidP="00147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252111"/>
    <w:multiLevelType w:val="hybridMultilevel"/>
    <w:tmpl w:val="AA2285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309ED"/>
    <w:multiLevelType w:val="hybridMultilevel"/>
    <w:tmpl w:val="86C810DE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1371CD"/>
    <w:multiLevelType w:val="hybridMultilevel"/>
    <w:tmpl w:val="B4C688AC"/>
    <w:lvl w:ilvl="0" w:tplc="B3DC7CBC">
      <w:start w:val="2"/>
      <w:numFmt w:val="lowerLetter"/>
      <w:lvlText w:val="%1)"/>
      <w:lvlJc w:val="left"/>
      <w:pPr>
        <w:ind w:left="720" w:hanging="360"/>
      </w:pPr>
      <w:rPr>
        <w:rFonts w:eastAsiaTheme="minorHAns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74A"/>
    <w:multiLevelType w:val="hybridMultilevel"/>
    <w:tmpl w:val="D39465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36CF8"/>
    <w:multiLevelType w:val="hybridMultilevel"/>
    <w:tmpl w:val="6270BF64"/>
    <w:lvl w:ilvl="0" w:tplc="06846F38">
      <w:start w:val="2"/>
      <w:numFmt w:val="bullet"/>
      <w:lvlText w:val="-"/>
      <w:lvlJc w:val="left"/>
      <w:pPr>
        <w:ind w:left="1066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 w15:restartNumberingAfterBreak="0">
    <w:nsid w:val="26F11E87"/>
    <w:multiLevelType w:val="hybridMultilevel"/>
    <w:tmpl w:val="994A56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21EBA"/>
    <w:multiLevelType w:val="hybridMultilevel"/>
    <w:tmpl w:val="02106A2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F136E"/>
    <w:multiLevelType w:val="hybridMultilevel"/>
    <w:tmpl w:val="1E1692C2"/>
    <w:lvl w:ilvl="0" w:tplc="74708D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B5781"/>
    <w:multiLevelType w:val="hybridMultilevel"/>
    <w:tmpl w:val="86C810D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DC7684"/>
    <w:multiLevelType w:val="hybridMultilevel"/>
    <w:tmpl w:val="09C08C3E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5F60B4B"/>
    <w:multiLevelType w:val="hybridMultilevel"/>
    <w:tmpl w:val="E2EC077C"/>
    <w:lvl w:ilvl="0" w:tplc="08E6C4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7EC3CAB"/>
    <w:multiLevelType w:val="hybridMultilevel"/>
    <w:tmpl w:val="4DD08452"/>
    <w:lvl w:ilvl="0" w:tplc="06846F38">
      <w:start w:val="2"/>
      <w:numFmt w:val="bullet"/>
      <w:lvlText w:val="-"/>
      <w:lvlJc w:val="left"/>
      <w:pPr>
        <w:ind w:left="1066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 w15:restartNumberingAfterBreak="0">
    <w:nsid w:val="5AF71202"/>
    <w:multiLevelType w:val="hybridMultilevel"/>
    <w:tmpl w:val="11D69D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27031"/>
    <w:multiLevelType w:val="hybridMultilevel"/>
    <w:tmpl w:val="9ABA71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9F18CDCC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F752E9"/>
    <w:multiLevelType w:val="hybridMultilevel"/>
    <w:tmpl w:val="A20AF6DE"/>
    <w:lvl w:ilvl="0" w:tplc="8A66CD1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D3D4F"/>
    <w:multiLevelType w:val="hybridMultilevel"/>
    <w:tmpl w:val="8EA23FD4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F29B9"/>
    <w:multiLevelType w:val="hybridMultilevel"/>
    <w:tmpl w:val="D25828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2C70CF"/>
    <w:multiLevelType w:val="hybridMultilevel"/>
    <w:tmpl w:val="6EAAFD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C778D"/>
    <w:multiLevelType w:val="hybridMultilevel"/>
    <w:tmpl w:val="6E2AB4E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766335"/>
    <w:multiLevelType w:val="hybridMultilevel"/>
    <w:tmpl w:val="5FE8A8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41046"/>
    <w:multiLevelType w:val="hybridMultilevel"/>
    <w:tmpl w:val="8EA23FD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72681">
    <w:abstractNumId w:val="12"/>
  </w:num>
  <w:num w:numId="2" w16cid:durableId="493450257">
    <w:abstractNumId w:val="16"/>
  </w:num>
  <w:num w:numId="3" w16cid:durableId="891115575">
    <w:abstractNumId w:val="3"/>
  </w:num>
  <w:num w:numId="4" w16cid:durableId="296573430">
    <w:abstractNumId w:val="19"/>
  </w:num>
  <w:num w:numId="5" w16cid:durableId="1017002720">
    <w:abstractNumId w:val="13"/>
  </w:num>
  <w:num w:numId="6" w16cid:durableId="2105805554">
    <w:abstractNumId w:val="18"/>
  </w:num>
  <w:num w:numId="7" w16cid:durableId="852299350">
    <w:abstractNumId w:val="1"/>
  </w:num>
  <w:num w:numId="8" w16cid:durableId="692876857">
    <w:abstractNumId w:val="11"/>
  </w:num>
  <w:num w:numId="9" w16cid:durableId="1206482883">
    <w:abstractNumId w:val="6"/>
  </w:num>
  <w:num w:numId="10" w16cid:durableId="36979189">
    <w:abstractNumId w:val="4"/>
  </w:num>
  <w:num w:numId="11" w16cid:durableId="1858427273">
    <w:abstractNumId w:val="0"/>
  </w:num>
  <w:num w:numId="12" w16cid:durableId="1222403058">
    <w:abstractNumId w:val="8"/>
  </w:num>
  <w:num w:numId="13" w16cid:durableId="1617984104">
    <w:abstractNumId w:val="14"/>
  </w:num>
  <w:num w:numId="14" w16cid:durableId="674769143">
    <w:abstractNumId w:val="17"/>
  </w:num>
  <w:num w:numId="15" w16cid:durableId="975062380">
    <w:abstractNumId w:val="5"/>
  </w:num>
  <w:num w:numId="16" w16cid:durableId="53281464">
    <w:abstractNumId w:val="15"/>
  </w:num>
  <w:num w:numId="17" w16cid:durableId="190460553">
    <w:abstractNumId w:val="10"/>
  </w:num>
  <w:num w:numId="18" w16cid:durableId="7369733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3363093">
    <w:abstractNumId w:val="7"/>
  </w:num>
  <w:num w:numId="20" w16cid:durableId="1078869189">
    <w:abstractNumId w:val="9"/>
  </w:num>
  <w:num w:numId="21" w16cid:durableId="19424519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5A2"/>
    <w:rsid w:val="00000478"/>
    <w:rsid w:val="000144C8"/>
    <w:rsid w:val="00015A3D"/>
    <w:rsid w:val="000262D1"/>
    <w:rsid w:val="0004322E"/>
    <w:rsid w:val="00084FE4"/>
    <w:rsid w:val="00085B5E"/>
    <w:rsid w:val="000A1C8C"/>
    <w:rsid w:val="000A2684"/>
    <w:rsid w:val="000A7D65"/>
    <w:rsid w:val="000C5712"/>
    <w:rsid w:val="000C74C9"/>
    <w:rsid w:val="000E2464"/>
    <w:rsid w:val="00101B96"/>
    <w:rsid w:val="001129EB"/>
    <w:rsid w:val="00115556"/>
    <w:rsid w:val="0014789C"/>
    <w:rsid w:val="00151040"/>
    <w:rsid w:val="00155855"/>
    <w:rsid w:val="00160086"/>
    <w:rsid w:val="0019586C"/>
    <w:rsid w:val="001E0FED"/>
    <w:rsid w:val="0023231D"/>
    <w:rsid w:val="00233195"/>
    <w:rsid w:val="002573AB"/>
    <w:rsid w:val="0028598E"/>
    <w:rsid w:val="00291720"/>
    <w:rsid w:val="002B23ED"/>
    <w:rsid w:val="002C2807"/>
    <w:rsid w:val="002D63B7"/>
    <w:rsid w:val="002D7BC9"/>
    <w:rsid w:val="002E3C80"/>
    <w:rsid w:val="003100A7"/>
    <w:rsid w:val="00311181"/>
    <w:rsid w:val="00317F62"/>
    <w:rsid w:val="00370B48"/>
    <w:rsid w:val="00397950"/>
    <w:rsid w:val="003A754F"/>
    <w:rsid w:val="003C063A"/>
    <w:rsid w:val="003C76ED"/>
    <w:rsid w:val="003D37A6"/>
    <w:rsid w:val="003D3C13"/>
    <w:rsid w:val="00400335"/>
    <w:rsid w:val="00430531"/>
    <w:rsid w:val="00441025"/>
    <w:rsid w:val="004767D2"/>
    <w:rsid w:val="004A2FC4"/>
    <w:rsid w:val="004B2075"/>
    <w:rsid w:val="004C6120"/>
    <w:rsid w:val="00517759"/>
    <w:rsid w:val="00567E18"/>
    <w:rsid w:val="00570E06"/>
    <w:rsid w:val="00577715"/>
    <w:rsid w:val="005A23BE"/>
    <w:rsid w:val="005E118C"/>
    <w:rsid w:val="005E3008"/>
    <w:rsid w:val="005F5A0E"/>
    <w:rsid w:val="00603447"/>
    <w:rsid w:val="00606501"/>
    <w:rsid w:val="00611E7E"/>
    <w:rsid w:val="00612D63"/>
    <w:rsid w:val="0062545A"/>
    <w:rsid w:val="00630BC5"/>
    <w:rsid w:val="00632E1A"/>
    <w:rsid w:val="00673F17"/>
    <w:rsid w:val="0068730F"/>
    <w:rsid w:val="0069407B"/>
    <w:rsid w:val="006C41AC"/>
    <w:rsid w:val="006E539F"/>
    <w:rsid w:val="006E6C69"/>
    <w:rsid w:val="006F132A"/>
    <w:rsid w:val="006F2CAA"/>
    <w:rsid w:val="006F2E69"/>
    <w:rsid w:val="007148AC"/>
    <w:rsid w:val="007254C5"/>
    <w:rsid w:val="007525A2"/>
    <w:rsid w:val="00764A04"/>
    <w:rsid w:val="00781CE2"/>
    <w:rsid w:val="00791A91"/>
    <w:rsid w:val="007A55F3"/>
    <w:rsid w:val="007A5D6D"/>
    <w:rsid w:val="007C698F"/>
    <w:rsid w:val="007D636F"/>
    <w:rsid w:val="007E4DA5"/>
    <w:rsid w:val="007F512F"/>
    <w:rsid w:val="00804E6F"/>
    <w:rsid w:val="008069D1"/>
    <w:rsid w:val="00820567"/>
    <w:rsid w:val="00832B0C"/>
    <w:rsid w:val="008878A4"/>
    <w:rsid w:val="008A6AAE"/>
    <w:rsid w:val="008D18A2"/>
    <w:rsid w:val="008D3A6C"/>
    <w:rsid w:val="008E2C13"/>
    <w:rsid w:val="009364F2"/>
    <w:rsid w:val="00946846"/>
    <w:rsid w:val="009475E1"/>
    <w:rsid w:val="00960474"/>
    <w:rsid w:val="00963707"/>
    <w:rsid w:val="00984C7B"/>
    <w:rsid w:val="009B4550"/>
    <w:rsid w:val="009F52CC"/>
    <w:rsid w:val="00A21272"/>
    <w:rsid w:val="00A44C7B"/>
    <w:rsid w:val="00A765BE"/>
    <w:rsid w:val="00A83F9A"/>
    <w:rsid w:val="00A93217"/>
    <w:rsid w:val="00A93D07"/>
    <w:rsid w:val="00AA7DF2"/>
    <w:rsid w:val="00AC1F97"/>
    <w:rsid w:val="00AE557A"/>
    <w:rsid w:val="00B10E15"/>
    <w:rsid w:val="00B16392"/>
    <w:rsid w:val="00B44600"/>
    <w:rsid w:val="00B523F4"/>
    <w:rsid w:val="00B959A4"/>
    <w:rsid w:val="00B95E55"/>
    <w:rsid w:val="00B97F43"/>
    <w:rsid w:val="00BA34A8"/>
    <w:rsid w:val="00BC0977"/>
    <w:rsid w:val="00BC623E"/>
    <w:rsid w:val="00BC69D0"/>
    <w:rsid w:val="00BD1E03"/>
    <w:rsid w:val="00BD3373"/>
    <w:rsid w:val="00C14B9C"/>
    <w:rsid w:val="00C37404"/>
    <w:rsid w:val="00C50241"/>
    <w:rsid w:val="00C50DBA"/>
    <w:rsid w:val="00C54453"/>
    <w:rsid w:val="00C6615C"/>
    <w:rsid w:val="00C80068"/>
    <w:rsid w:val="00C8688F"/>
    <w:rsid w:val="00CD6DDC"/>
    <w:rsid w:val="00D169CA"/>
    <w:rsid w:val="00D5098A"/>
    <w:rsid w:val="00D6099C"/>
    <w:rsid w:val="00D70D90"/>
    <w:rsid w:val="00D71FE5"/>
    <w:rsid w:val="00D831EB"/>
    <w:rsid w:val="00D87787"/>
    <w:rsid w:val="00DE21B1"/>
    <w:rsid w:val="00E0179B"/>
    <w:rsid w:val="00E151BB"/>
    <w:rsid w:val="00E70DA9"/>
    <w:rsid w:val="00E721D4"/>
    <w:rsid w:val="00E814A9"/>
    <w:rsid w:val="00E967D5"/>
    <w:rsid w:val="00EA4565"/>
    <w:rsid w:val="00EA7997"/>
    <w:rsid w:val="00EB555F"/>
    <w:rsid w:val="00EC4A05"/>
    <w:rsid w:val="00EF0F09"/>
    <w:rsid w:val="00EF3A55"/>
    <w:rsid w:val="00EF51C1"/>
    <w:rsid w:val="00F21A7D"/>
    <w:rsid w:val="00F47FE5"/>
    <w:rsid w:val="00F9200E"/>
    <w:rsid w:val="00F92BA8"/>
    <w:rsid w:val="00F9652F"/>
    <w:rsid w:val="00FA7D9E"/>
    <w:rsid w:val="00FC4E5A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7E6F03"/>
  <w15:docId w15:val="{71CC55AC-2006-4228-8A73-DBC97A31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7E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47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789C"/>
  </w:style>
  <w:style w:type="paragraph" w:styleId="Pidipagina">
    <w:name w:val="footer"/>
    <w:basedOn w:val="Normale"/>
    <w:link w:val="PidipaginaCarattere"/>
    <w:uiPriority w:val="99"/>
    <w:unhideWhenUsed/>
    <w:rsid w:val="001478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89C"/>
  </w:style>
  <w:style w:type="paragraph" w:styleId="Paragrafoelenco">
    <w:name w:val="List Paragraph"/>
    <w:basedOn w:val="Normale"/>
    <w:uiPriority w:val="34"/>
    <w:qFormat/>
    <w:rsid w:val="000E24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15556"/>
    <w:rPr>
      <w:color w:val="0000FF"/>
      <w:u w:val="single"/>
    </w:rPr>
  </w:style>
  <w:style w:type="character" w:customStyle="1" w:styleId="linkneltesto">
    <w:name w:val="link_nel_testo"/>
    <w:basedOn w:val="Carpredefinitoparagrafo"/>
    <w:rsid w:val="001155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12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120"/>
    <w:rPr>
      <w:rFonts w:ascii="Lucida Grande" w:hAnsi="Lucida Grande" w:cs="Lucida Grande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BA34A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1CE2"/>
    <w:rPr>
      <w:vertAlign w:val="superscript"/>
    </w:rPr>
  </w:style>
  <w:style w:type="paragraph" w:customStyle="1" w:styleId="Default">
    <w:name w:val="Default"/>
    <w:rsid w:val="00F96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F96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3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idenzacanevar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capellini</dc:creator>
  <cp:keywords/>
  <dc:description/>
  <cp:lastModifiedBy>Giuditta Cardinale</cp:lastModifiedBy>
  <cp:revision>29</cp:revision>
  <cp:lastPrinted>2023-05-29T14:26:00Z</cp:lastPrinted>
  <dcterms:created xsi:type="dcterms:W3CDTF">2015-07-03T18:26:00Z</dcterms:created>
  <dcterms:modified xsi:type="dcterms:W3CDTF">2024-01-16T11:45:00Z</dcterms:modified>
</cp:coreProperties>
</file>