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7E4FC" w14:textId="77777777" w:rsidR="00A22963" w:rsidRPr="00C35A24" w:rsidRDefault="00A22963" w:rsidP="00A22963">
      <w:pPr>
        <w:suppressAutoHyphens/>
        <w:autoSpaceDN w:val="0"/>
        <w:spacing w:after="120" w:line="240" w:lineRule="auto"/>
        <w:ind w:left="2832"/>
        <w:jc w:val="center"/>
        <w:textAlignment w:val="baseline"/>
        <w:rPr>
          <w:rFonts w:ascii="Calibri" w:eastAsia="Calibri" w:hAnsi="Calibri" w:cs="Times New Roman"/>
        </w:rPr>
      </w:pPr>
      <w:r w:rsidRPr="00C35A24">
        <w:rPr>
          <w:rFonts w:ascii="Calibri" w:eastAsia="Calibri" w:hAnsi="Calibri" w:cs="Times New Roman"/>
          <w:b/>
          <w:noProof/>
          <w:sz w:val="24"/>
          <w:szCs w:val="24"/>
          <w:lang w:eastAsia="it-IT"/>
        </w:rPr>
        <w:drawing>
          <wp:anchor distT="0" distB="0" distL="114300" distR="114300" simplePos="0" relativeHeight="251659264" behindDoc="1" locked="0" layoutInCell="1" allowOverlap="1" wp14:anchorId="2CAB3BA1" wp14:editId="401B6595">
            <wp:simplePos x="0" y="0"/>
            <wp:positionH relativeFrom="margin">
              <wp:posOffset>-329568</wp:posOffset>
            </wp:positionH>
            <wp:positionV relativeFrom="paragraph">
              <wp:posOffset>7616</wp:posOffset>
            </wp:positionV>
            <wp:extent cx="1638303" cy="971550"/>
            <wp:effectExtent l="0" t="0" r="0" b="0"/>
            <wp:wrapNone/>
            <wp:docPr id="1" name="Immagine 3"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638303" cy="971550"/>
                    </a:xfrm>
                    <a:prstGeom prst="rect">
                      <a:avLst/>
                    </a:prstGeom>
                    <a:noFill/>
                    <a:ln>
                      <a:noFill/>
                      <a:prstDash/>
                    </a:ln>
                  </pic:spPr>
                </pic:pic>
              </a:graphicData>
            </a:graphic>
          </wp:anchor>
        </w:drawing>
      </w:r>
      <w:r w:rsidRPr="00C35A24">
        <w:rPr>
          <w:rFonts w:ascii="Tahoma" w:eastAsia="Calibri" w:hAnsi="Tahoma" w:cs="Tahoma"/>
          <w:b/>
          <w:sz w:val="24"/>
          <w:szCs w:val="24"/>
        </w:rPr>
        <w:t>Residenza Conte Canevaro</w:t>
      </w:r>
    </w:p>
    <w:p w14:paraId="742853F0" w14:textId="77777777" w:rsidR="00A22963" w:rsidRPr="00C35A24" w:rsidRDefault="00A22963" w:rsidP="00A22963">
      <w:pPr>
        <w:suppressAutoHyphens/>
        <w:autoSpaceDN w:val="0"/>
        <w:spacing w:after="120" w:line="240" w:lineRule="auto"/>
        <w:ind w:left="2832"/>
        <w:jc w:val="center"/>
        <w:textAlignment w:val="baseline"/>
        <w:rPr>
          <w:rFonts w:ascii="Tahoma" w:eastAsia="Calibri" w:hAnsi="Tahoma" w:cs="Tahoma"/>
          <w:sz w:val="16"/>
          <w:szCs w:val="16"/>
        </w:rPr>
      </w:pPr>
      <w:r w:rsidRPr="00C35A24">
        <w:rPr>
          <w:rFonts w:ascii="Tahoma" w:eastAsia="Calibri" w:hAnsi="Tahoma" w:cs="Tahoma"/>
          <w:sz w:val="16"/>
          <w:szCs w:val="16"/>
        </w:rPr>
        <w:t>Via Antica Romana 27</w:t>
      </w:r>
    </w:p>
    <w:p w14:paraId="4A290776" w14:textId="77777777" w:rsidR="00A22963" w:rsidRPr="00C35A24" w:rsidRDefault="00A22963" w:rsidP="00A22963">
      <w:pPr>
        <w:suppressAutoHyphens/>
        <w:autoSpaceDN w:val="0"/>
        <w:spacing w:after="120" w:line="240" w:lineRule="auto"/>
        <w:ind w:left="2832"/>
        <w:jc w:val="center"/>
        <w:textAlignment w:val="baseline"/>
        <w:rPr>
          <w:rFonts w:ascii="Tahoma" w:eastAsia="Calibri" w:hAnsi="Tahoma" w:cs="Tahoma"/>
          <w:sz w:val="16"/>
          <w:szCs w:val="16"/>
        </w:rPr>
      </w:pPr>
      <w:r w:rsidRPr="00C35A24">
        <w:rPr>
          <w:rFonts w:ascii="Tahoma" w:eastAsia="Calibri" w:hAnsi="Tahoma" w:cs="Tahoma"/>
          <w:sz w:val="16"/>
          <w:szCs w:val="16"/>
        </w:rPr>
        <w:t>16035 ZOAGLI</w:t>
      </w:r>
    </w:p>
    <w:p w14:paraId="23101BA7" w14:textId="77777777" w:rsidR="00A22963" w:rsidRPr="00C35A24" w:rsidRDefault="00A22963" w:rsidP="00A22963">
      <w:pPr>
        <w:suppressAutoHyphens/>
        <w:autoSpaceDN w:val="0"/>
        <w:spacing w:after="120" w:line="240" w:lineRule="auto"/>
        <w:ind w:left="2832"/>
        <w:jc w:val="center"/>
        <w:textAlignment w:val="baseline"/>
        <w:rPr>
          <w:rFonts w:ascii="Tahoma" w:eastAsia="Calibri" w:hAnsi="Tahoma" w:cs="Tahoma"/>
          <w:sz w:val="16"/>
          <w:szCs w:val="16"/>
        </w:rPr>
      </w:pPr>
      <w:r w:rsidRPr="00C35A24">
        <w:rPr>
          <w:rFonts w:ascii="Tahoma" w:eastAsia="Calibri" w:hAnsi="Tahoma" w:cs="Tahoma"/>
          <w:sz w:val="16"/>
          <w:szCs w:val="16"/>
        </w:rPr>
        <w:t>Tel. 0185259049 fax 0185250034</w:t>
      </w:r>
    </w:p>
    <w:p w14:paraId="3C018AB8" w14:textId="77777777" w:rsidR="00A22963" w:rsidRPr="00C35A24" w:rsidRDefault="00A22963" w:rsidP="00A22963">
      <w:pPr>
        <w:suppressAutoHyphens/>
        <w:autoSpaceDN w:val="0"/>
        <w:spacing w:after="120" w:line="240" w:lineRule="auto"/>
        <w:ind w:left="2832"/>
        <w:jc w:val="center"/>
        <w:textAlignment w:val="baseline"/>
        <w:rPr>
          <w:rFonts w:ascii="Tahoma" w:eastAsia="Calibri" w:hAnsi="Tahoma" w:cs="Tahoma"/>
          <w:sz w:val="16"/>
          <w:szCs w:val="16"/>
        </w:rPr>
      </w:pPr>
      <w:r w:rsidRPr="00C35A24">
        <w:rPr>
          <w:rFonts w:ascii="Tahoma" w:eastAsia="Calibri" w:hAnsi="Tahoma" w:cs="Tahoma"/>
          <w:sz w:val="16"/>
          <w:szCs w:val="16"/>
        </w:rPr>
        <w:t>CF. 83003590102</w:t>
      </w:r>
    </w:p>
    <w:p w14:paraId="22337F66" w14:textId="77777777" w:rsidR="00A22963" w:rsidRPr="00C35A24" w:rsidRDefault="00A22963" w:rsidP="00A22963">
      <w:pPr>
        <w:suppressAutoHyphens/>
        <w:autoSpaceDN w:val="0"/>
        <w:spacing w:after="120" w:line="240" w:lineRule="auto"/>
        <w:ind w:left="2832"/>
        <w:jc w:val="center"/>
        <w:textAlignment w:val="baseline"/>
        <w:rPr>
          <w:rFonts w:ascii="Calibri" w:eastAsia="Calibri" w:hAnsi="Calibri" w:cs="Times New Roman"/>
        </w:rPr>
      </w:pPr>
      <w:r w:rsidRPr="00C35A24">
        <w:rPr>
          <w:rFonts w:ascii="Tahoma" w:eastAsia="Calibri" w:hAnsi="Tahoma" w:cs="Tahoma"/>
          <w:sz w:val="16"/>
          <w:szCs w:val="16"/>
        </w:rPr>
        <w:t xml:space="preserve">e-mail </w:t>
      </w:r>
      <w:hyperlink r:id="rId9" w:history="1">
        <w:r w:rsidRPr="00C35A24">
          <w:rPr>
            <w:rFonts w:ascii="Tahoma" w:eastAsia="Calibri" w:hAnsi="Tahoma" w:cs="Tahoma"/>
            <w:sz w:val="16"/>
            <w:szCs w:val="16"/>
            <w:u w:val="single"/>
          </w:rPr>
          <w:t>info@residenzacanevaro.com</w:t>
        </w:r>
      </w:hyperlink>
    </w:p>
    <w:p w14:paraId="1D1E524C" w14:textId="77777777" w:rsidR="00A22963" w:rsidRPr="00C35A24" w:rsidRDefault="00A22963" w:rsidP="00A22963">
      <w:pPr>
        <w:pStyle w:val="Default"/>
        <w:rPr>
          <w:color w:val="auto"/>
          <w:sz w:val="40"/>
          <w:szCs w:val="40"/>
        </w:rPr>
      </w:pPr>
    </w:p>
    <w:p w14:paraId="2C59CB72" w14:textId="2708F150" w:rsidR="000F1ADA" w:rsidRPr="00C35A24" w:rsidRDefault="000F1ADA" w:rsidP="000F1ADA">
      <w:pPr>
        <w:pStyle w:val="Default"/>
        <w:jc w:val="center"/>
        <w:rPr>
          <w:color w:val="auto"/>
          <w:sz w:val="40"/>
          <w:szCs w:val="40"/>
        </w:rPr>
      </w:pPr>
      <w:r w:rsidRPr="00C35A24">
        <w:rPr>
          <w:color w:val="auto"/>
          <w:sz w:val="40"/>
          <w:szCs w:val="40"/>
        </w:rPr>
        <w:t>PROTOCOLLO 4:</w:t>
      </w:r>
    </w:p>
    <w:p w14:paraId="0BDEAD35" w14:textId="77777777" w:rsidR="000F1ADA" w:rsidRPr="00C35A24" w:rsidRDefault="000F1ADA" w:rsidP="000F1ADA">
      <w:pPr>
        <w:pStyle w:val="Default"/>
        <w:jc w:val="center"/>
        <w:rPr>
          <w:color w:val="auto"/>
          <w:sz w:val="40"/>
          <w:szCs w:val="40"/>
        </w:rPr>
      </w:pPr>
      <w:r w:rsidRPr="00C35A24">
        <w:rPr>
          <w:color w:val="auto"/>
          <w:sz w:val="40"/>
          <w:szCs w:val="40"/>
        </w:rPr>
        <w:t>GESTIONE DEGLI ACQUISTI</w:t>
      </w:r>
    </w:p>
    <w:p w14:paraId="78A78718" w14:textId="77777777" w:rsidR="000F1ADA" w:rsidRPr="00C35A24" w:rsidRDefault="000F1ADA" w:rsidP="000F1ADA">
      <w:pPr>
        <w:pStyle w:val="Default"/>
        <w:rPr>
          <w:color w:val="auto"/>
          <w:sz w:val="22"/>
          <w:szCs w:val="22"/>
        </w:rPr>
      </w:pPr>
    </w:p>
    <w:p w14:paraId="4DF69070" w14:textId="77777777" w:rsidR="000F1ADA" w:rsidRPr="00C35A24" w:rsidRDefault="000F1ADA" w:rsidP="000F1ADA">
      <w:pPr>
        <w:pStyle w:val="Default"/>
        <w:rPr>
          <w:color w:val="auto"/>
          <w:sz w:val="20"/>
          <w:szCs w:val="20"/>
        </w:rPr>
      </w:pPr>
    </w:p>
    <w:p w14:paraId="0710081C" w14:textId="77777777" w:rsidR="000F1ADA" w:rsidRPr="00C35A24" w:rsidRDefault="000F1ADA" w:rsidP="000F1ADA">
      <w:pPr>
        <w:pStyle w:val="Default"/>
        <w:rPr>
          <w:color w:val="auto"/>
          <w:sz w:val="20"/>
          <w:szCs w:val="20"/>
        </w:rPr>
      </w:pPr>
      <w:r w:rsidRPr="00C35A24">
        <w:rPr>
          <w:color w:val="auto"/>
          <w:sz w:val="20"/>
          <w:szCs w:val="20"/>
        </w:rPr>
        <w:t xml:space="preserve">INDICE: </w:t>
      </w:r>
    </w:p>
    <w:p w14:paraId="0D13D179" w14:textId="77777777" w:rsidR="000F1ADA" w:rsidRPr="00C35A24" w:rsidRDefault="000F1ADA" w:rsidP="000F1ADA">
      <w:pPr>
        <w:pStyle w:val="Default"/>
        <w:rPr>
          <w:color w:val="auto"/>
          <w:sz w:val="20"/>
          <w:szCs w:val="20"/>
        </w:rPr>
      </w:pPr>
    </w:p>
    <w:p w14:paraId="4C57C461" w14:textId="77777777" w:rsidR="000F1ADA" w:rsidRPr="00C35A24" w:rsidRDefault="000F1ADA" w:rsidP="000F1ADA">
      <w:pPr>
        <w:pStyle w:val="Default"/>
        <w:rPr>
          <w:color w:val="auto"/>
          <w:sz w:val="20"/>
          <w:szCs w:val="20"/>
        </w:rPr>
      </w:pPr>
      <w:r w:rsidRPr="00C35A24">
        <w:rPr>
          <w:color w:val="auto"/>
          <w:sz w:val="20"/>
          <w:szCs w:val="20"/>
        </w:rPr>
        <w:t xml:space="preserve">1. OBIETTIVI </w:t>
      </w:r>
    </w:p>
    <w:p w14:paraId="5E15AAA2" w14:textId="77777777" w:rsidR="000F1ADA" w:rsidRPr="00C35A24" w:rsidRDefault="000F1ADA" w:rsidP="000F1ADA">
      <w:pPr>
        <w:pStyle w:val="Default"/>
        <w:rPr>
          <w:color w:val="auto"/>
          <w:sz w:val="20"/>
          <w:szCs w:val="20"/>
        </w:rPr>
      </w:pPr>
      <w:r w:rsidRPr="00C35A24">
        <w:rPr>
          <w:color w:val="auto"/>
          <w:sz w:val="20"/>
          <w:szCs w:val="20"/>
        </w:rPr>
        <w:t xml:space="preserve">2. DESTINATARI </w:t>
      </w:r>
    </w:p>
    <w:p w14:paraId="003FEA30" w14:textId="77777777" w:rsidR="000F1ADA" w:rsidRPr="00C35A24" w:rsidRDefault="000F1ADA" w:rsidP="000F1ADA">
      <w:pPr>
        <w:pStyle w:val="Default"/>
        <w:rPr>
          <w:color w:val="auto"/>
          <w:sz w:val="20"/>
          <w:szCs w:val="20"/>
        </w:rPr>
      </w:pPr>
      <w:r w:rsidRPr="00C35A24">
        <w:rPr>
          <w:color w:val="auto"/>
          <w:sz w:val="20"/>
          <w:szCs w:val="20"/>
        </w:rPr>
        <w:t xml:space="preserve">3. PROCESSI AZIENDALI COINVOLTI </w:t>
      </w:r>
    </w:p>
    <w:p w14:paraId="2F07E50B" w14:textId="77777777" w:rsidR="000F1ADA" w:rsidRPr="00C35A24" w:rsidRDefault="000F1ADA" w:rsidP="000F1ADA">
      <w:pPr>
        <w:pStyle w:val="Default"/>
        <w:rPr>
          <w:color w:val="auto"/>
          <w:sz w:val="20"/>
          <w:szCs w:val="20"/>
        </w:rPr>
      </w:pPr>
      <w:r w:rsidRPr="00C35A24">
        <w:rPr>
          <w:color w:val="auto"/>
          <w:sz w:val="20"/>
          <w:szCs w:val="20"/>
        </w:rPr>
        <w:t xml:space="preserve">4. DOCUMENTAZIONE INTEGRATIVA </w:t>
      </w:r>
    </w:p>
    <w:p w14:paraId="5CEA93EA" w14:textId="77777777" w:rsidR="000F1ADA" w:rsidRPr="00C35A24" w:rsidRDefault="000F1ADA" w:rsidP="000F1ADA">
      <w:pPr>
        <w:pStyle w:val="Default"/>
        <w:rPr>
          <w:color w:val="auto"/>
          <w:sz w:val="20"/>
          <w:szCs w:val="20"/>
        </w:rPr>
      </w:pPr>
      <w:r w:rsidRPr="00C35A24">
        <w:rPr>
          <w:color w:val="auto"/>
          <w:sz w:val="20"/>
          <w:szCs w:val="20"/>
        </w:rPr>
        <w:t xml:space="preserve">5. PROCEDURE DA APPLICARE </w:t>
      </w:r>
    </w:p>
    <w:p w14:paraId="2E3953B9" w14:textId="77777777" w:rsidR="000F1ADA" w:rsidRPr="00C35A24" w:rsidRDefault="000F1ADA" w:rsidP="000F1ADA">
      <w:pPr>
        <w:pStyle w:val="Default"/>
        <w:rPr>
          <w:color w:val="auto"/>
          <w:sz w:val="20"/>
          <w:szCs w:val="20"/>
        </w:rPr>
      </w:pPr>
      <w:r w:rsidRPr="00C35A24">
        <w:rPr>
          <w:color w:val="auto"/>
          <w:sz w:val="20"/>
          <w:szCs w:val="20"/>
        </w:rPr>
        <w:t xml:space="preserve">6. ATTIVITÀ DELL’ODV </w:t>
      </w:r>
    </w:p>
    <w:p w14:paraId="684DA045" w14:textId="77777777" w:rsidR="000F1ADA" w:rsidRPr="00C35A24" w:rsidRDefault="000F1ADA" w:rsidP="000F1ADA">
      <w:pPr>
        <w:pStyle w:val="Default"/>
        <w:rPr>
          <w:color w:val="auto"/>
          <w:sz w:val="20"/>
          <w:szCs w:val="20"/>
        </w:rPr>
      </w:pPr>
      <w:r w:rsidRPr="00C35A24">
        <w:rPr>
          <w:color w:val="auto"/>
          <w:sz w:val="20"/>
          <w:szCs w:val="20"/>
        </w:rPr>
        <w:t xml:space="preserve">7. DISPOSIZIONI FINALI </w:t>
      </w:r>
    </w:p>
    <w:p w14:paraId="050A5C86" w14:textId="77777777" w:rsidR="000F1ADA" w:rsidRPr="00C35A24" w:rsidRDefault="000F1ADA" w:rsidP="000F1ADA">
      <w:pPr>
        <w:pStyle w:val="Default"/>
        <w:rPr>
          <w:color w:val="auto"/>
          <w:sz w:val="22"/>
          <w:szCs w:val="22"/>
        </w:rPr>
      </w:pPr>
    </w:p>
    <w:p w14:paraId="798C31E8" w14:textId="77777777" w:rsidR="000F1ADA" w:rsidRPr="00C35A24" w:rsidRDefault="000F1ADA" w:rsidP="000F1ADA">
      <w:pPr>
        <w:pStyle w:val="Default"/>
        <w:rPr>
          <w:color w:val="auto"/>
          <w:sz w:val="22"/>
          <w:szCs w:val="22"/>
        </w:rPr>
      </w:pPr>
    </w:p>
    <w:p w14:paraId="12637816" w14:textId="77777777" w:rsidR="000F1ADA" w:rsidRPr="00C35A24" w:rsidRDefault="000F1ADA" w:rsidP="000F1ADA">
      <w:pPr>
        <w:pStyle w:val="Default"/>
        <w:numPr>
          <w:ilvl w:val="0"/>
          <w:numId w:val="1"/>
        </w:numPr>
        <w:rPr>
          <w:b/>
          <w:bCs/>
          <w:color w:val="auto"/>
          <w:sz w:val="22"/>
          <w:szCs w:val="22"/>
        </w:rPr>
      </w:pPr>
      <w:r w:rsidRPr="00C35A24">
        <w:rPr>
          <w:b/>
          <w:bCs/>
          <w:color w:val="auto"/>
          <w:sz w:val="22"/>
          <w:szCs w:val="22"/>
        </w:rPr>
        <w:t xml:space="preserve">Obiettivi </w:t>
      </w:r>
    </w:p>
    <w:p w14:paraId="0D029F90" w14:textId="77777777" w:rsidR="000F1ADA" w:rsidRPr="00C35A24" w:rsidRDefault="000F1ADA" w:rsidP="000F1ADA">
      <w:pPr>
        <w:pStyle w:val="Default"/>
        <w:jc w:val="both"/>
        <w:rPr>
          <w:color w:val="auto"/>
          <w:sz w:val="22"/>
          <w:szCs w:val="22"/>
        </w:rPr>
      </w:pPr>
    </w:p>
    <w:p w14:paraId="38B01A4D" w14:textId="77777777" w:rsidR="000F1ADA" w:rsidRPr="00C35A24" w:rsidRDefault="000F1ADA" w:rsidP="000F1ADA">
      <w:pPr>
        <w:pStyle w:val="Default"/>
        <w:jc w:val="both"/>
        <w:rPr>
          <w:color w:val="auto"/>
          <w:sz w:val="22"/>
          <w:szCs w:val="22"/>
        </w:rPr>
      </w:pPr>
      <w:r w:rsidRPr="00C35A24">
        <w:rPr>
          <w:color w:val="auto"/>
          <w:sz w:val="22"/>
          <w:szCs w:val="22"/>
        </w:rPr>
        <w:t xml:space="preserve">Il presente protocollo ha l’obiettivo di definire ruoli e responsabilità in relazione alla Gestione degli Acquisti al fine di prevenire, nell’esecuzione di tale attività, la commissione degli illeciti previsti dal </w:t>
      </w:r>
      <w:proofErr w:type="spellStart"/>
      <w:r w:rsidRPr="00C35A24">
        <w:rPr>
          <w:color w:val="auto"/>
          <w:sz w:val="22"/>
          <w:szCs w:val="22"/>
        </w:rPr>
        <w:t>D.Lgs.</w:t>
      </w:r>
      <w:proofErr w:type="spellEnd"/>
      <w:r w:rsidRPr="00C35A24">
        <w:rPr>
          <w:color w:val="auto"/>
          <w:sz w:val="22"/>
          <w:szCs w:val="22"/>
        </w:rPr>
        <w:t xml:space="preserve"> 231/2001. </w:t>
      </w:r>
    </w:p>
    <w:p w14:paraId="56EDBE48" w14:textId="77777777" w:rsidR="000F1ADA" w:rsidRPr="00C35A24" w:rsidRDefault="000F1ADA" w:rsidP="000F1ADA">
      <w:pPr>
        <w:pStyle w:val="Default"/>
        <w:jc w:val="both"/>
        <w:rPr>
          <w:color w:val="auto"/>
          <w:sz w:val="22"/>
          <w:szCs w:val="22"/>
        </w:rPr>
      </w:pPr>
      <w:r w:rsidRPr="00C35A24">
        <w:rPr>
          <w:color w:val="auto"/>
          <w:sz w:val="22"/>
          <w:szCs w:val="22"/>
        </w:rPr>
        <w:t xml:space="preserve">In particolare, il presente protocollo intende prevenire il verificarsi delle fattispecie di reato previste nei seguenti articoli del </w:t>
      </w:r>
      <w:proofErr w:type="spellStart"/>
      <w:r w:rsidRPr="00C35A24">
        <w:rPr>
          <w:color w:val="auto"/>
          <w:sz w:val="22"/>
          <w:szCs w:val="22"/>
        </w:rPr>
        <w:t>D.Lgs.</w:t>
      </w:r>
      <w:proofErr w:type="spellEnd"/>
      <w:r w:rsidRPr="00C35A24">
        <w:rPr>
          <w:color w:val="auto"/>
          <w:sz w:val="22"/>
          <w:szCs w:val="22"/>
        </w:rPr>
        <w:t xml:space="preserve"> 231/01 (a titolo riassuntivo, rimandandosi per l’analisi dettagliata alla parte speciale del presente MOG): </w:t>
      </w:r>
    </w:p>
    <w:p w14:paraId="79A9C6D7" w14:textId="77777777" w:rsidR="000F1ADA" w:rsidRPr="00C35A24" w:rsidRDefault="000F1ADA" w:rsidP="000F1ADA">
      <w:pPr>
        <w:pStyle w:val="Default"/>
        <w:jc w:val="both"/>
        <w:rPr>
          <w:color w:val="auto"/>
          <w:sz w:val="22"/>
          <w:szCs w:val="22"/>
        </w:rPr>
      </w:pPr>
    </w:p>
    <w:p w14:paraId="013E1B86" w14:textId="77777777" w:rsidR="000F1ADA" w:rsidRPr="00C35A24" w:rsidRDefault="000F1ADA" w:rsidP="000F1ADA">
      <w:pPr>
        <w:pStyle w:val="Default"/>
        <w:jc w:val="both"/>
        <w:rPr>
          <w:color w:val="auto"/>
          <w:sz w:val="22"/>
          <w:szCs w:val="22"/>
        </w:rPr>
      </w:pPr>
      <w:r w:rsidRPr="00C35A24">
        <w:rPr>
          <w:color w:val="auto"/>
          <w:sz w:val="22"/>
          <w:szCs w:val="22"/>
        </w:rPr>
        <w:t xml:space="preserve">- art. 25 ter </w:t>
      </w:r>
      <w:proofErr w:type="spellStart"/>
      <w:r w:rsidRPr="00C35A24">
        <w:rPr>
          <w:color w:val="auto"/>
          <w:sz w:val="22"/>
          <w:szCs w:val="22"/>
        </w:rPr>
        <w:t>D.Lgs.</w:t>
      </w:r>
      <w:proofErr w:type="spellEnd"/>
      <w:r w:rsidRPr="00C35A24">
        <w:rPr>
          <w:color w:val="auto"/>
          <w:sz w:val="22"/>
          <w:szCs w:val="22"/>
        </w:rPr>
        <w:t xml:space="preserve"> 231/01: “Reati societari”; </w:t>
      </w:r>
    </w:p>
    <w:p w14:paraId="46B28912" w14:textId="23EE8141" w:rsidR="000F1ADA" w:rsidRPr="00C35A24" w:rsidRDefault="00782E9E" w:rsidP="00782E9E">
      <w:pPr>
        <w:pStyle w:val="NormaleWeb"/>
        <w:shd w:val="clear" w:color="auto" w:fill="FFFFFF"/>
        <w:spacing w:before="0" w:beforeAutospacing="0" w:after="0" w:afterAutospacing="0" w:line="0" w:lineRule="atLeast"/>
        <w:jc w:val="both"/>
        <w:textAlignment w:val="baseline"/>
        <w:rPr>
          <w:rFonts w:ascii="Arial" w:hAnsi="Arial" w:cs="Arial"/>
          <w:iCs/>
          <w:sz w:val="22"/>
          <w:szCs w:val="22"/>
        </w:rPr>
      </w:pPr>
      <w:r w:rsidRPr="00C35A24">
        <w:rPr>
          <w:rFonts w:ascii="Arial" w:hAnsi="Arial" w:cs="Arial"/>
          <w:sz w:val="22"/>
          <w:szCs w:val="22"/>
        </w:rPr>
        <w:t xml:space="preserve">- </w:t>
      </w:r>
      <w:bookmarkStart w:id="0" w:name="_Hlk50456291"/>
      <w:r w:rsidRPr="00C35A24">
        <w:rPr>
          <w:rFonts w:ascii="Arial" w:hAnsi="Arial" w:cs="Arial"/>
          <w:iCs/>
          <w:sz w:val="22"/>
          <w:szCs w:val="22"/>
          <w:bdr w:val="none" w:sz="0" w:space="0" w:color="auto" w:frame="1"/>
        </w:rPr>
        <w:t xml:space="preserve">peculato, concussione, induzione indebita a dare o promettere </w:t>
      </w:r>
      <w:proofErr w:type="spellStart"/>
      <w:r w:rsidRPr="00C35A24">
        <w:rPr>
          <w:rFonts w:ascii="Arial" w:hAnsi="Arial" w:cs="Arial"/>
          <w:iCs/>
          <w:sz w:val="22"/>
          <w:szCs w:val="22"/>
          <w:bdr w:val="none" w:sz="0" w:space="0" w:color="auto" w:frame="1"/>
        </w:rPr>
        <w:t>utilita</w:t>
      </w:r>
      <w:proofErr w:type="spellEnd"/>
      <w:r w:rsidRPr="00C35A24">
        <w:rPr>
          <w:rFonts w:ascii="Arial" w:hAnsi="Arial" w:cs="Arial"/>
          <w:iCs/>
          <w:sz w:val="22"/>
          <w:szCs w:val="22"/>
          <w:bdr w:val="none" w:sz="0" w:space="0" w:color="auto" w:frame="1"/>
        </w:rPr>
        <w:t>̀, corruzione e abuso d’ufficio</w:t>
      </w:r>
      <w:bookmarkEnd w:id="0"/>
      <w:r w:rsidRPr="00C35A24">
        <w:rPr>
          <w:rFonts w:ascii="Arial" w:hAnsi="Arial" w:cs="Arial"/>
          <w:iCs/>
          <w:sz w:val="22"/>
          <w:szCs w:val="22"/>
          <w:bdr w:val="none" w:sz="0" w:space="0" w:color="auto" w:frame="1"/>
        </w:rPr>
        <w:t xml:space="preserve"> </w:t>
      </w:r>
      <w:r w:rsidRPr="00C35A24">
        <w:rPr>
          <w:rFonts w:ascii="Arial" w:hAnsi="Arial" w:cs="Arial"/>
          <w:sz w:val="22"/>
          <w:szCs w:val="22"/>
        </w:rPr>
        <w:t xml:space="preserve">(art. 25 d. lgs. 231/2001); </w:t>
      </w:r>
    </w:p>
    <w:p w14:paraId="4A414384" w14:textId="77777777" w:rsidR="000F1ADA" w:rsidRPr="00C35A24" w:rsidRDefault="000F1ADA" w:rsidP="000F1ADA">
      <w:pPr>
        <w:pStyle w:val="Default"/>
        <w:jc w:val="both"/>
        <w:rPr>
          <w:color w:val="auto"/>
          <w:sz w:val="22"/>
          <w:szCs w:val="22"/>
        </w:rPr>
      </w:pPr>
      <w:r w:rsidRPr="00C35A24">
        <w:rPr>
          <w:color w:val="auto"/>
          <w:sz w:val="22"/>
          <w:szCs w:val="22"/>
        </w:rPr>
        <w:t xml:space="preserve">- riciclaggio e impiego di denaro, beni o utilità di provenienza illecita, nonché autoriciclaggio (art. 25 </w:t>
      </w:r>
      <w:proofErr w:type="spellStart"/>
      <w:r w:rsidRPr="00C35A24">
        <w:rPr>
          <w:color w:val="auto"/>
          <w:sz w:val="22"/>
          <w:szCs w:val="22"/>
        </w:rPr>
        <w:t>octies</w:t>
      </w:r>
      <w:proofErr w:type="spellEnd"/>
      <w:r w:rsidRPr="00C35A24">
        <w:rPr>
          <w:color w:val="auto"/>
          <w:sz w:val="22"/>
          <w:szCs w:val="22"/>
        </w:rPr>
        <w:t xml:space="preserve"> </w:t>
      </w:r>
      <w:proofErr w:type="spellStart"/>
      <w:r w:rsidRPr="00C35A24">
        <w:rPr>
          <w:color w:val="auto"/>
          <w:sz w:val="22"/>
          <w:szCs w:val="22"/>
        </w:rPr>
        <w:t>D.Lgs.</w:t>
      </w:r>
      <w:proofErr w:type="spellEnd"/>
      <w:r w:rsidRPr="00C35A24">
        <w:rPr>
          <w:color w:val="auto"/>
          <w:sz w:val="22"/>
          <w:szCs w:val="22"/>
        </w:rPr>
        <w:t xml:space="preserve"> 231/01). Con l’entrata in vigore del reato di autoriciclaggio (art. 648 ter.1 c.p. come richiamato dall’art. 25 </w:t>
      </w:r>
      <w:proofErr w:type="spellStart"/>
      <w:r w:rsidRPr="00C35A24">
        <w:rPr>
          <w:color w:val="auto"/>
          <w:sz w:val="22"/>
          <w:szCs w:val="22"/>
        </w:rPr>
        <w:t>octies</w:t>
      </w:r>
      <w:proofErr w:type="spellEnd"/>
      <w:r w:rsidRPr="00C35A24">
        <w:rPr>
          <w:color w:val="auto"/>
          <w:sz w:val="22"/>
          <w:szCs w:val="22"/>
        </w:rPr>
        <w:t xml:space="preserve"> </w:t>
      </w:r>
      <w:proofErr w:type="spellStart"/>
      <w:r w:rsidRPr="00C35A24">
        <w:rPr>
          <w:color w:val="auto"/>
          <w:sz w:val="22"/>
          <w:szCs w:val="22"/>
        </w:rPr>
        <w:t>D.Lgs.</w:t>
      </w:r>
      <w:proofErr w:type="spellEnd"/>
      <w:r w:rsidRPr="00C35A24">
        <w:rPr>
          <w:color w:val="auto"/>
          <w:sz w:val="22"/>
          <w:szCs w:val="22"/>
        </w:rPr>
        <w:t xml:space="preserve"> 231/01), la presente procedura è anche diretta a prevenire il riutilizzo di denaro, beni o altre utilità derivanti dalla commissione dei reati di cui ai punti che precedono ovvero degli altri delitti di natura non colposa non presenti nell’elenco di cui al </w:t>
      </w:r>
      <w:proofErr w:type="spellStart"/>
      <w:r w:rsidRPr="00C35A24">
        <w:rPr>
          <w:color w:val="auto"/>
          <w:sz w:val="22"/>
          <w:szCs w:val="22"/>
        </w:rPr>
        <w:t>D.Lgs.</w:t>
      </w:r>
      <w:proofErr w:type="spellEnd"/>
      <w:r w:rsidRPr="00C35A24">
        <w:rPr>
          <w:color w:val="auto"/>
          <w:sz w:val="22"/>
          <w:szCs w:val="22"/>
        </w:rPr>
        <w:t xml:space="preserve"> 231/01 </w:t>
      </w:r>
    </w:p>
    <w:p w14:paraId="44C80B4D" w14:textId="77777777" w:rsidR="000F1ADA" w:rsidRPr="00C35A24" w:rsidRDefault="000F1ADA" w:rsidP="000F1ADA">
      <w:pPr>
        <w:pStyle w:val="Default"/>
        <w:jc w:val="both"/>
        <w:rPr>
          <w:color w:val="auto"/>
          <w:sz w:val="22"/>
          <w:szCs w:val="22"/>
        </w:rPr>
      </w:pPr>
    </w:p>
    <w:p w14:paraId="49665579" w14:textId="77777777" w:rsidR="000F1ADA" w:rsidRPr="00C35A24" w:rsidRDefault="000F1ADA" w:rsidP="000F1ADA">
      <w:pPr>
        <w:pStyle w:val="Default"/>
        <w:jc w:val="both"/>
        <w:rPr>
          <w:color w:val="auto"/>
          <w:sz w:val="22"/>
          <w:szCs w:val="22"/>
        </w:rPr>
      </w:pPr>
      <w:r w:rsidRPr="00C35A24">
        <w:rPr>
          <w:color w:val="auto"/>
          <w:sz w:val="22"/>
          <w:szCs w:val="22"/>
        </w:rPr>
        <w:t xml:space="preserve">Il presente protocollo è altresì volto a prevenire il reato di cui all’art. 416 c.p. (associazione per delinquere), laddove finalizzato alla commissione dei reati di cui sopra. </w:t>
      </w:r>
    </w:p>
    <w:p w14:paraId="75E9EE40" w14:textId="7C81AE28" w:rsidR="000F1ADA" w:rsidRPr="00C35A24" w:rsidRDefault="000F1ADA" w:rsidP="000F1ADA">
      <w:pPr>
        <w:pStyle w:val="Default"/>
        <w:jc w:val="both"/>
        <w:rPr>
          <w:color w:val="auto"/>
          <w:sz w:val="22"/>
          <w:szCs w:val="22"/>
        </w:rPr>
      </w:pPr>
    </w:p>
    <w:p w14:paraId="16032C6B" w14:textId="77777777" w:rsidR="00FA6CA6" w:rsidRPr="00C35A24" w:rsidRDefault="00FA6CA6" w:rsidP="000F1ADA">
      <w:pPr>
        <w:pStyle w:val="Default"/>
        <w:jc w:val="both"/>
        <w:rPr>
          <w:color w:val="auto"/>
          <w:sz w:val="22"/>
          <w:szCs w:val="22"/>
        </w:rPr>
      </w:pPr>
    </w:p>
    <w:p w14:paraId="2A6611A6" w14:textId="77777777" w:rsidR="000F1ADA" w:rsidRPr="00C35A24" w:rsidRDefault="000F1ADA" w:rsidP="000F1ADA">
      <w:pPr>
        <w:pStyle w:val="Default"/>
        <w:numPr>
          <w:ilvl w:val="0"/>
          <w:numId w:val="1"/>
        </w:numPr>
        <w:jc w:val="both"/>
        <w:rPr>
          <w:b/>
          <w:bCs/>
          <w:color w:val="auto"/>
          <w:sz w:val="22"/>
          <w:szCs w:val="22"/>
        </w:rPr>
      </w:pPr>
      <w:r w:rsidRPr="00C35A24">
        <w:rPr>
          <w:b/>
          <w:bCs/>
          <w:color w:val="auto"/>
          <w:sz w:val="22"/>
          <w:szCs w:val="22"/>
        </w:rPr>
        <w:t xml:space="preserve">Destinatari (Aree a rischio) </w:t>
      </w:r>
    </w:p>
    <w:p w14:paraId="28BFE5A6" w14:textId="77777777" w:rsidR="000F1ADA" w:rsidRPr="00C35A24" w:rsidRDefault="000F1ADA" w:rsidP="000F1ADA">
      <w:pPr>
        <w:pStyle w:val="Default"/>
        <w:ind w:left="720"/>
        <w:jc w:val="both"/>
        <w:rPr>
          <w:color w:val="auto"/>
          <w:sz w:val="22"/>
          <w:szCs w:val="22"/>
        </w:rPr>
      </w:pPr>
    </w:p>
    <w:p w14:paraId="1242141D" w14:textId="69BC984C" w:rsidR="000F1ADA" w:rsidRPr="00C35A24" w:rsidRDefault="000F1ADA" w:rsidP="000F1ADA">
      <w:pPr>
        <w:jc w:val="both"/>
        <w:rPr>
          <w:rFonts w:ascii="Arial" w:hAnsi="Arial" w:cs="Arial"/>
        </w:rPr>
      </w:pPr>
      <w:r w:rsidRPr="00C35A24">
        <w:rPr>
          <w:rFonts w:ascii="Arial" w:hAnsi="Arial" w:cs="Arial"/>
        </w:rPr>
        <w:t xml:space="preserve">Il presente protocollo, finalizzato alla prevenzione dei reati poc’anzi menzionati, trova applicazione nei confronti di tutti coloro che, nell’esercizio dell’attività di propria competenza a favore della </w:t>
      </w:r>
      <w:r w:rsidR="00214EC7" w:rsidRPr="00C35A24">
        <w:rPr>
          <w:rFonts w:ascii="Arial" w:hAnsi="Arial" w:cs="Arial"/>
        </w:rPr>
        <w:t>Fondazione</w:t>
      </w:r>
      <w:r w:rsidRPr="00C35A24">
        <w:rPr>
          <w:rFonts w:ascii="Arial" w:hAnsi="Arial" w:cs="Arial"/>
        </w:rPr>
        <w:t>, intervengono nella Gestione degli Acquisti.</w:t>
      </w:r>
    </w:p>
    <w:p w14:paraId="0C0A6345" w14:textId="77777777" w:rsidR="000F1ADA" w:rsidRPr="00C35A24" w:rsidRDefault="000F1ADA" w:rsidP="000F1ADA">
      <w:pPr>
        <w:pStyle w:val="Default"/>
        <w:rPr>
          <w:color w:val="auto"/>
          <w:sz w:val="22"/>
          <w:szCs w:val="22"/>
        </w:rPr>
      </w:pPr>
      <w:r w:rsidRPr="00C35A24">
        <w:rPr>
          <w:color w:val="auto"/>
          <w:sz w:val="22"/>
          <w:szCs w:val="22"/>
        </w:rPr>
        <w:t xml:space="preserve">In particolare, i processi aziendali sensibili prevedono il coinvolgimento, secondo le rispettive competenze, dei seguenti soggetti: </w:t>
      </w:r>
    </w:p>
    <w:p w14:paraId="058F1387" w14:textId="77777777" w:rsidR="000F1ADA" w:rsidRPr="00C35A24" w:rsidRDefault="000F1ADA" w:rsidP="000F1ADA">
      <w:pPr>
        <w:pStyle w:val="Default"/>
        <w:rPr>
          <w:color w:val="auto"/>
          <w:sz w:val="22"/>
          <w:szCs w:val="22"/>
        </w:rPr>
      </w:pPr>
    </w:p>
    <w:p w14:paraId="5CECE421" w14:textId="77777777" w:rsidR="000F1ADA" w:rsidRPr="00C35A24" w:rsidRDefault="000F1ADA" w:rsidP="000F1ADA">
      <w:pPr>
        <w:pStyle w:val="Default"/>
        <w:rPr>
          <w:color w:val="auto"/>
          <w:sz w:val="22"/>
          <w:szCs w:val="22"/>
        </w:rPr>
      </w:pPr>
    </w:p>
    <w:p w14:paraId="06F8A7C6" w14:textId="5D8FBD3B" w:rsidR="000F1ADA" w:rsidRPr="00C35A24" w:rsidRDefault="000F1ADA" w:rsidP="000F1ADA">
      <w:pPr>
        <w:pStyle w:val="Paragrafoelenco"/>
        <w:numPr>
          <w:ilvl w:val="1"/>
          <w:numId w:val="4"/>
        </w:numPr>
        <w:spacing w:after="0" w:line="240" w:lineRule="auto"/>
        <w:ind w:left="1434" w:right="1" w:hanging="357"/>
        <w:contextualSpacing w:val="0"/>
        <w:jc w:val="both"/>
        <w:rPr>
          <w:rFonts w:ascii="Arial" w:hAnsi="Arial" w:cs="Arial"/>
        </w:rPr>
      </w:pPr>
      <w:r w:rsidRPr="00C35A24">
        <w:rPr>
          <w:rFonts w:ascii="Arial" w:hAnsi="Arial" w:cs="Arial"/>
        </w:rPr>
        <w:t>Presidente del Cda</w:t>
      </w:r>
    </w:p>
    <w:p w14:paraId="6E5B68BB" w14:textId="1C9B471B" w:rsidR="0056504F" w:rsidRPr="00C35A24" w:rsidRDefault="00CE29F6" w:rsidP="000F1ADA">
      <w:pPr>
        <w:pStyle w:val="Paragrafoelenco"/>
        <w:numPr>
          <w:ilvl w:val="1"/>
          <w:numId w:val="4"/>
        </w:numPr>
        <w:spacing w:after="0" w:line="240" w:lineRule="auto"/>
        <w:ind w:left="1434" w:right="1" w:hanging="357"/>
        <w:contextualSpacing w:val="0"/>
        <w:jc w:val="both"/>
        <w:rPr>
          <w:rFonts w:ascii="Arial" w:hAnsi="Arial" w:cs="Arial"/>
        </w:rPr>
      </w:pPr>
      <w:r w:rsidRPr="00C35A24">
        <w:rPr>
          <w:rFonts w:ascii="Arial" w:hAnsi="Arial" w:cs="Arial"/>
        </w:rPr>
        <w:t>Direttore Sanitario</w:t>
      </w:r>
    </w:p>
    <w:p w14:paraId="38E30900" w14:textId="4D921CAA" w:rsidR="0056504F" w:rsidRPr="00C35A24" w:rsidRDefault="0056504F" w:rsidP="000F1ADA">
      <w:pPr>
        <w:pStyle w:val="Paragrafoelenco"/>
        <w:numPr>
          <w:ilvl w:val="1"/>
          <w:numId w:val="4"/>
        </w:numPr>
        <w:spacing w:after="0" w:line="240" w:lineRule="auto"/>
        <w:ind w:left="1434" w:right="1" w:hanging="357"/>
        <w:contextualSpacing w:val="0"/>
        <w:jc w:val="both"/>
        <w:rPr>
          <w:rFonts w:ascii="Arial" w:hAnsi="Arial" w:cs="Arial"/>
        </w:rPr>
      </w:pPr>
      <w:r w:rsidRPr="00C35A24">
        <w:rPr>
          <w:rFonts w:ascii="Arial" w:hAnsi="Arial" w:cs="Arial"/>
        </w:rPr>
        <w:t xml:space="preserve">Responsabile </w:t>
      </w:r>
      <w:r w:rsidR="00830BA3" w:rsidRPr="00C35A24">
        <w:rPr>
          <w:rFonts w:ascii="Arial" w:hAnsi="Arial" w:cs="Arial"/>
        </w:rPr>
        <w:t>Affari Generali e Legali</w:t>
      </w:r>
      <w:r w:rsidR="00EE7F8C" w:rsidRPr="00C35A24">
        <w:rPr>
          <w:rFonts w:ascii="Arial" w:hAnsi="Arial" w:cs="Arial"/>
        </w:rPr>
        <w:t>/Responsabile Amministrativo facente funzioni</w:t>
      </w:r>
    </w:p>
    <w:p w14:paraId="4E32035C" w14:textId="2440CECE" w:rsidR="002C4658" w:rsidRPr="00C35A24" w:rsidRDefault="002C4658" w:rsidP="000F1ADA">
      <w:pPr>
        <w:pStyle w:val="Paragrafoelenco"/>
        <w:numPr>
          <w:ilvl w:val="1"/>
          <w:numId w:val="4"/>
        </w:numPr>
        <w:spacing w:after="0" w:line="240" w:lineRule="auto"/>
        <w:ind w:left="1434" w:right="1" w:hanging="357"/>
        <w:contextualSpacing w:val="0"/>
        <w:jc w:val="both"/>
        <w:rPr>
          <w:rFonts w:ascii="Arial" w:hAnsi="Arial" w:cs="Arial"/>
        </w:rPr>
      </w:pPr>
      <w:r w:rsidRPr="00C35A24">
        <w:rPr>
          <w:rFonts w:ascii="Arial" w:hAnsi="Arial" w:cs="Arial"/>
        </w:rPr>
        <w:t>Responsabile Sistema qualità</w:t>
      </w:r>
    </w:p>
    <w:p w14:paraId="18254FA6" w14:textId="2712EFB0" w:rsidR="000F1ADA" w:rsidRPr="00C35A24" w:rsidRDefault="001A3143" w:rsidP="0032245B">
      <w:pPr>
        <w:pStyle w:val="Paragrafoelenco"/>
        <w:numPr>
          <w:ilvl w:val="1"/>
          <w:numId w:val="4"/>
        </w:numPr>
        <w:spacing w:after="0" w:line="240" w:lineRule="auto"/>
        <w:ind w:left="1434" w:right="1" w:hanging="357"/>
        <w:contextualSpacing w:val="0"/>
        <w:jc w:val="both"/>
      </w:pPr>
      <w:r w:rsidRPr="00C35A24">
        <w:rPr>
          <w:rFonts w:ascii="Arial" w:hAnsi="Arial" w:cs="Arial"/>
        </w:rPr>
        <w:t>fornitori</w:t>
      </w:r>
    </w:p>
    <w:p w14:paraId="6A6D4F52" w14:textId="77777777" w:rsidR="000F1ADA" w:rsidRPr="00C35A24" w:rsidRDefault="000F1ADA" w:rsidP="000F1ADA">
      <w:pPr>
        <w:pStyle w:val="Default"/>
        <w:rPr>
          <w:color w:val="auto"/>
          <w:sz w:val="22"/>
          <w:szCs w:val="22"/>
        </w:rPr>
      </w:pPr>
    </w:p>
    <w:p w14:paraId="7E88E995" w14:textId="77777777" w:rsidR="000F1ADA" w:rsidRPr="00C35A24" w:rsidRDefault="000F1ADA" w:rsidP="000F1ADA">
      <w:pPr>
        <w:pStyle w:val="Default"/>
        <w:rPr>
          <w:color w:val="auto"/>
          <w:sz w:val="22"/>
          <w:szCs w:val="22"/>
        </w:rPr>
      </w:pPr>
    </w:p>
    <w:p w14:paraId="6575EF70" w14:textId="77777777" w:rsidR="000F1ADA" w:rsidRPr="00C35A24" w:rsidRDefault="000F1ADA" w:rsidP="000F1ADA">
      <w:pPr>
        <w:pStyle w:val="Default"/>
        <w:numPr>
          <w:ilvl w:val="0"/>
          <w:numId w:val="1"/>
        </w:numPr>
        <w:rPr>
          <w:b/>
          <w:bCs/>
          <w:color w:val="auto"/>
          <w:sz w:val="22"/>
          <w:szCs w:val="22"/>
        </w:rPr>
      </w:pPr>
      <w:r w:rsidRPr="00C35A24">
        <w:rPr>
          <w:b/>
          <w:bCs/>
          <w:color w:val="auto"/>
          <w:sz w:val="22"/>
          <w:szCs w:val="22"/>
        </w:rPr>
        <w:t xml:space="preserve">Processi aziendali sensibili (processi a rischio) </w:t>
      </w:r>
    </w:p>
    <w:p w14:paraId="786F94B2" w14:textId="77777777" w:rsidR="000F1ADA" w:rsidRPr="00C35A24" w:rsidRDefault="000F1ADA" w:rsidP="000F1ADA">
      <w:pPr>
        <w:pStyle w:val="Default"/>
        <w:ind w:left="720"/>
        <w:rPr>
          <w:color w:val="auto"/>
          <w:sz w:val="22"/>
          <w:szCs w:val="22"/>
        </w:rPr>
      </w:pPr>
    </w:p>
    <w:p w14:paraId="6BA857EA" w14:textId="77777777" w:rsidR="000F1ADA" w:rsidRPr="00C35A24" w:rsidRDefault="000F1ADA" w:rsidP="000F1ADA">
      <w:pPr>
        <w:pStyle w:val="Default"/>
        <w:jc w:val="both"/>
        <w:rPr>
          <w:color w:val="auto"/>
          <w:sz w:val="22"/>
          <w:szCs w:val="22"/>
        </w:rPr>
      </w:pPr>
      <w:r w:rsidRPr="00C35A24">
        <w:rPr>
          <w:color w:val="auto"/>
          <w:sz w:val="22"/>
          <w:szCs w:val="22"/>
        </w:rPr>
        <w:t>I Destinatari del presente protocollo, per quanto rileva ai fini della prevenzione dei reati poc’anzi menzionati, partecipano alla Gestione degli Acquisti (ed a titolo esemplificativo) attraverso i seguenti processi aziendali:</w:t>
      </w:r>
    </w:p>
    <w:p w14:paraId="34419189" w14:textId="77777777" w:rsidR="000F1ADA" w:rsidRPr="00C35A24" w:rsidRDefault="000F1ADA" w:rsidP="000F1ADA">
      <w:pPr>
        <w:pStyle w:val="Default"/>
        <w:jc w:val="both"/>
        <w:rPr>
          <w:color w:val="auto"/>
          <w:sz w:val="22"/>
          <w:szCs w:val="22"/>
        </w:rPr>
      </w:pPr>
      <w:r w:rsidRPr="00C35A24">
        <w:rPr>
          <w:color w:val="auto"/>
          <w:sz w:val="22"/>
          <w:szCs w:val="22"/>
        </w:rPr>
        <w:t xml:space="preserve"> </w:t>
      </w:r>
    </w:p>
    <w:p w14:paraId="52791367" w14:textId="25FAFA4F" w:rsidR="000F1ADA" w:rsidRPr="00C35A24" w:rsidRDefault="008728C2" w:rsidP="008728C2">
      <w:pPr>
        <w:pStyle w:val="Default"/>
        <w:numPr>
          <w:ilvl w:val="0"/>
          <w:numId w:val="13"/>
        </w:numPr>
        <w:jc w:val="both"/>
        <w:rPr>
          <w:color w:val="auto"/>
          <w:sz w:val="22"/>
          <w:szCs w:val="22"/>
        </w:rPr>
      </w:pPr>
      <w:r w:rsidRPr="00C35A24">
        <w:rPr>
          <w:color w:val="auto"/>
          <w:sz w:val="22"/>
          <w:szCs w:val="22"/>
        </w:rPr>
        <w:t>s</w:t>
      </w:r>
      <w:r w:rsidR="000F1ADA" w:rsidRPr="00C35A24">
        <w:rPr>
          <w:color w:val="auto"/>
          <w:sz w:val="22"/>
          <w:szCs w:val="22"/>
        </w:rPr>
        <w:t xml:space="preserve">elezione dei fornitori e gestione dei rapporti, gestione degli acquisti; </w:t>
      </w:r>
    </w:p>
    <w:p w14:paraId="28617A39" w14:textId="63CFA54E" w:rsidR="002C4658" w:rsidRPr="00C35A24" w:rsidRDefault="002C4658" w:rsidP="008728C2">
      <w:pPr>
        <w:pStyle w:val="Default"/>
        <w:numPr>
          <w:ilvl w:val="0"/>
          <w:numId w:val="13"/>
        </w:numPr>
        <w:jc w:val="both"/>
        <w:rPr>
          <w:color w:val="auto"/>
          <w:sz w:val="22"/>
          <w:szCs w:val="22"/>
        </w:rPr>
      </w:pPr>
      <w:r w:rsidRPr="00C35A24">
        <w:rPr>
          <w:color w:val="auto"/>
          <w:sz w:val="22"/>
          <w:szCs w:val="22"/>
        </w:rPr>
        <w:t>gestione del sistema qualità</w:t>
      </w:r>
    </w:p>
    <w:p w14:paraId="09EA4012" w14:textId="77777777" w:rsidR="000F1ADA" w:rsidRPr="00C35A24" w:rsidRDefault="000F1ADA" w:rsidP="000F1ADA">
      <w:pPr>
        <w:pStyle w:val="Default"/>
        <w:jc w:val="both"/>
        <w:rPr>
          <w:color w:val="auto"/>
          <w:sz w:val="22"/>
          <w:szCs w:val="22"/>
        </w:rPr>
      </w:pPr>
    </w:p>
    <w:p w14:paraId="7AA8AA5B" w14:textId="77777777" w:rsidR="000F1ADA" w:rsidRPr="00C35A24" w:rsidRDefault="000F1ADA" w:rsidP="000F1ADA">
      <w:pPr>
        <w:pStyle w:val="Default"/>
        <w:numPr>
          <w:ilvl w:val="0"/>
          <w:numId w:val="1"/>
        </w:numPr>
        <w:jc w:val="both"/>
        <w:rPr>
          <w:b/>
          <w:bCs/>
          <w:color w:val="auto"/>
          <w:sz w:val="22"/>
          <w:szCs w:val="22"/>
        </w:rPr>
      </w:pPr>
      <w:r w:rsidRPr="00C35A24">
        <w:rPr>
          <w:b/>
          <w:bCs/>
          <w:color w:val="auto"/>
          <w:sz w:val="22"/>
          <w:szCs w:val="22"/>
        </w:rPr>
        <w:t xml:space="preserve">Documentazione integrativa </w:t>
      </w:r>
    </w:p>
    <w:p w14:paraId="339C71A0" w14:textId="77777777" w:rsidR="000F1ADA" w:rsidRPr="00C35A24" w:rsidRDefault="000F1ADA" w:rsidP="000F1ADA">
      <w:pPr>
        <w:pStyle w:val="Default"/>
        <w:ind w:left="720"/>
        <w:jc w:val="both"/>
        <w:rPr>
          <w:color w:val="auto"/>
          <w:sz w:val="22"/>
          <w:szCs w:val="22"/>
        </w:rPr>
      </w:pPr>
    </w:p>
    <w:p w14:paraId="13BFD7AD" w14:textId="5EA506AD" w:rsidR="000F1ADA" w:rsidRPr="00C35A24" w:rsidRDefault="000F1ADA" w:rsidP="000F1ADA">
      <w:pPr>
        <w:pStyle w:val="Default"/>
        <w:jc w:val="both"/>
        <w:rPr>
          <w:color w:val="auto"/>
          <w:sz w:val="22"/>
          <w:szCs w:val="22"/>
        </w:rPr>
      </w:pPr>
      <w:r w:rsidRPr="00C35A24">
        <w:rPr>
          <w:color w:val="auto"/>
          <w:sz w:val="22"/>
          <w:szCs w:val="22"/>
        </w:rPr>
        <w:t>La scelta dei fornitori e la gestione degli acquisti deve avvenire secondo i principi generali di buona fede e con la diligenza ordinaria nella gestione delle attività, nel rispetto dei principi espressi dal Codice Etico ed in applicazione delle procedure previste dal Sistema</w:t>
      </w:r>
      <w:r w:rsidR="003155DF" w:rsidRPr="00C35A24">
        <w:rPr>
          <w:color w:val="auto"/>
          <w:sz w:val="22"/>
          <w:szCs w:val="22"/>
        </w:rPr>
        <w:t xml:space="preserve"> Qualità</w:t>
      </w:r>
      <w:r w:rsidRPr="00C35A24">
        <w:rPr>
          <w:color w:val="auto"/>
          <w:sz w:val="22"/>
          <w:szCs w:val="22"/>
        </w:rPr>
        <w:t xml:space="preserve">, che vengono qui integralmente richiamate per quanto di competenza. </w:t>
      </w:r>
    </w:p>
    <w:p w14:paraId="41C1C570" w14:textId="77777777" w:rsidR="000F1ADA" w:rsidRPr="00C35A24" w:rsidRDefault="000F1ADA" w:rsidP="000F1ADA">
      <w:pPr>
        <w:pStyle w:val="Default"/>
        <w:jc w:val="both"/>
        <w:rPr>
          <w:color w:val="auto"/>
          <w:sz w:val="22"/>
          <w:szCs w:val="22"/>
        </w:rPr>
      </w:pPr>
    </w:p>
    <w:p w14:paraId="41C03F5E" w14:textId="77777777" w:rsidR="000F1ADA" w:rsidRPr="00C35A24" w:rsidRDefault="000F1ADA" w:rsidP="000F1ADA">
      <w:pPr>
        <w:pStyle w:val="Default"/>
        <w:jc w:val="both"/>
        <w:rPr>
          <w:color w:val="auto"/>
          <w:sz w:val="22"/>
          <w:szCs w:val="22"/>
        </w:rPr>
      </w:pPr>
      <w:r w:rsidRPr="00C35A24">
        <w:rPr>
          <w:color w:val="auto"/>
          <w:sz w:val="22"/>
          <w:szCs w:val="22"/>
        </w:rPr>
        <w:t xml:space="preserve">Pertanto, il presente protocollo richiama ed integra quanto già disciplinato nell’ambito della seguente documentazione: </w:t>
      </w:r>
    </w:p>
    <w:p w14:paraId="074BBF49" w14:textId="77777777" w:rsidR="000F1ADA" w:rsidRPr="00C35A24" w:rsidRDefault="000F1ADA" w:rsidP="000F1ADA">
      <w:pPr>
        <w:pStyle w:val="Default"/>
        <w:jc w:val="both"/>
        <w:rPr>
          <w:color w:val="auto"/>
          <w:sz w:val="22"/>
          <w:szCs w:val="22"/>
        </w:rPr>
      </w:pPr>
    </w:p>
    <w:p w14:paraId="3B307729" w14:textId="15E72115" w:rsidR="008A7B28" w:rsidRPr="00C35A24" w:rsidRDefault="000F1ADA" w:rsidP="008A7B28">
      <w:pPr>
        <w:pStyle w:val="Default"/>
        <w:numPr>
          <w:ilvl w:val="0"/>
          <w:numId w:val="2"/>
        </w:numPr>
        <w:jc w:val="both"/>
        <w:rPr>
          <w:color w:val="auto"/>
          <w:sz w:val="22"/>
          <w:szCs w:val="22"/>
        </w:rPr>
      </w:pPr>
      <w:r w:rsidRPr="00C35A24">
        <w:rPr>
          <w:color w:val="auto"/>
          <w:sz w:val="22"/>
          <w:szCs w:val="22"/>
        </w:rPr>
        <w:t>Codice Etico;</w:t>
      </w:r>
    </w:p>
    <w:p w14:paraId="5EECCEFC" w14:textId="7C79C93D" w:rsidR="008A7B28" w:rsidRPr="00C35A24" w:rsidRDefault="001A3143" w:rsidP="008A7B28">
      <w:pPr>
        <w:pStyle w:val="Default"/>
        <w:numPr>
          <w:ilvl w:val="0"/>
          <w:numId w:val="2"/>
        </w:numPr>
        <w:jc w:val="both"/>
        <w:rPr>
          <w:color w:val="auto"/>
          <w:sz w:val="22"/>
          <w:szCs w:val="22"/>
        </w:rPr>
      </w:pPr>
      <w:r w:rsidRPr="00C35A24">
        <w:rPr>
          <w:color w:val="auto"/>
          <w:sz w:val="22"/>
          <w:szCs w:val="22"/>
        </w:rPr>
        <w:t>Documentazione interna della Fondazione attestante le disposizioni adottate per la prevenzione e la tutela della salute degli ospiti al fine di contrastare l’emergenza epidemiologica da virus Covid 19, con specifico riferimento alle parti destinate alla gestione del rapporto con i fornitori;</w:t>
      </w:r>
    </w:p>
    <w:p w14:paraId="22EFD5B8" w14:textId="762FC182" w:rsidR="00786DF1" w:rsidRPr="00C35A24" w:rsidRDefault="00786DF1" w:rsidP="000F1ADA">
      <w:pPr>
        <w:pStyle w:val="Default"/>
        <w:numPr>
          <w:ilvl w:val="0"/>
          <w:numId w:val="2"/>
        </w:numPr>
        <w:jc w:val="both"/>
        <w:rPr>
          <w:color w:val="auto"/>
          <w:sz w:val="22"/>
          <w:szCs w:val="22"/>
        </w:rPr>
      </w:pPr>
      <w:r w:rsidRPr="00C35A24">
        <w:rPr>
          <w:color w:val="auto"/>
          <w:sz w:val="22"/>
          <w:szCs w:val="22"/>
        </w:rPr>
        <w:t>Statuto e Atto Costitutivo;</w:t>
      </w:r>
    </w:p>
    <w:p w14:paraId="1C8E3547" w14:textId="605CAB32" w:rsidR="000F1ADA" w:rsidRPr="00C35A24" w:rsidRDefault="000F1ADA" w:rsidP="000F1ADA">
      <w:pPr>
        <w:pStyle w:val="Default"/>
        <w:numPr>
          <w:ilvl w:val="0"/>
          <w:numId w:val="2"/>
        </w:numPr>
        <w:jc w:val="both"/>
        <w:rPr>
          <w:color w:val="auto"/>
          <w:sz w:val="22"/>
          <w:szCs w:val="22"/>
        </w:rPr>
      </w:pPr>
      <w:r w:rsidRPr="00C35A24">
        <w:rPr>
          <w:color w:val="auto"/>
          <w:sz w:val="22"/>
          <w:szCs w:val="22"/>
        </w:rPr>
        <w:t>Poteri, deleghe e procure;</w:t>
      </w:r>
    </w:p>
    <w:p w14:paraId="5E2079A0" w14:textId="163ACBE9" w:rsidR="007B18F4" w:rsidRPr="00C35A24" w:rsidRDefault="007B18F4" w:rsidP="000F1ADA">
      <w:pPr>
        <w:pStyle w:val="Default"/>
        <w:numPr>
          <w:ilvl w:val="0"/>
          <w:numId w:val="2"/>
        </w:numPr>
        <w:jc w:val="both"/>
        <w:rPr>
          <w:color w:val="auto"/>
          <w:sz w:val="22"/>
          <w:szCs w:val="22"/>
        </w:rPr>
      </w:pPr>
      <w:r w:rsidRPr="00C35A24">
        <w:rPr>
          <w:color w:val="auto"/>
          <w:sz w:val="22"/>
          <w:szCs w:val="22"/>
        </w:rPr>
        <w:t>PQ</w:t>
      </w:r>
      <w:r w:rsidR="002C4658" w:rsidRPr="00C35A24">
        <w:rPr>
          <w:color w:val="auto"/>
          <w:sz w:val="22"/>
          <w:szCs w:val="22"/>
        </w:rPr>
        <w:t xml:space="preserve"> </w:t>
      </w:r>
      <w:r w:rsidRPr="00C35A24">
        <w:rPr>
          <w:color w:val="auto"/>
          <w:sz w:val="22"/>
          <w:szCs w:val="22"/>
        </w:rPr>
        <w:t>01</w:t>
      </w:r>
      <w:r w:rsidR="000D5A2C" w:rsidRPr="00C35A24">
        <w:rPr>
          <w:color w:val="auto"/>
          <w:sz w:val="22"/>
          <w:szCs w:val="22"/>
        </w:rPr>
        <w:t xml:space="preserve"> </w:t>
      </w:r>
      <w:r w:rsidR="0056504F" w:rsidRPr="00C35A24">
        <w:rPr>
          <w:color w:val="auto"/>
          <w:sz w:val="22"/>
          <w:szCs w:val="22"/>
        </w:rPr>
        <w:t>“</w:t>
      </w:r>
      <w:r w:rsidR="000D5A2C" w:rsidRPr="00C35A24">
        <w:rPr>
          <w:color w:val="auto"/>
          <w:sz w:val="22"/>
          <w:szCs w:val="22"/>
        </w:rPr>
        <w:t>approvvigionamento</w:t>
      </w:r>
      <w:r w:rsidR="0056504F" w:rsidRPr="00C35A24">
        <w:rPr>
          <w:color w:val="auto"/>
          <w:sz w:val="22"/>
          <w:szCs w:val="22"/>
        </w:rPr>
        <w:t>”</w:t>
      </w:r>
    </w:p>
    <w:p w14:paraId="5DE5D86C" w14:textId="6439BDFF" w:rsidR="002C4658" w:rsidRPr="00C35A24" w:rsidRDefault="002C4658" w:rsidP="000F1ADA">
      <w:pPr>
        <w:pStyle w:val="Default"/>
        <w:numPr>
          <w:ilvl w:val="0"/>
          <w:numId w:val="2"/>
        </w:numPr>
        <w:jc w:val="both"/>
        <w:rPr>
          <w:color w:val="auto"/>
          <w:sz w:val="22"/>
          <w:szCs w:val="22"/>
        </w:rPr>
      </w:pPr>
      <w:r w:rsidRPr="00C35A24">
        <w:rPr>
          <w:color w:val="auto"/>
          <w:sz w:val="22"/>
          <w:szCs w:val="22"/>
        </w:rPr>
        <w:t>PQ 06 “sistema qualità”</w:t>
      </w:r>
    </w:p>
    <w:p w14:paraId="169E9D5E" w14:textId="7593A2C8" w:rsidR="000F1ADA" w:rsidRPr="00C35A24" w:rsidRDefault="000F1ADA" w:rsidP="009A4F2E">
      <w:pPr>
        <w:pStyle w:val="Default"/>
        <w:jc w:val="both"/>
        <w:rPr>
          <w:color w:val="auto"/>
          <w:sz w:val="22"/>
          <w:szCs w:val="22"/>
        </w:rPr>
      </w:pPr>
    </w:p>
    <w:p w14:paraId="5E07D7F1" w14:textId="77777777" w:rsidR="000F1ADA" w:rsidRPr="00C35A24" w:rsidRDefault="000F1ADA" w:rsidP="000F1ADA">
      <w:pPr>
        <w:pStyle w:val="Default"/>
        <w:spacing w:after="42"/>
        <w:jc w:val="both"/>
        <w:rPr>
          <w:color w:val="auto"/>
          <w:sz w:val="22"/>
          <w:szCs w:val="22"/>
        </w:rPr>
      </w:pPr>
    </w:p>
    <w:p w14:paraId="6DF42C9D" w14:textId="77777777" w:rsidR="000F1ADA" w:rsidRPr="00C35A24" w:rsidRDefault="000F1ADA" w:rsidP="000F1ADA">
      <w:pPr>
        <w:jc w:val="both"/>
        <w:rPr>
          <w:rFonts w:ascii="Arial" w:hAnsi="Arial" w:cs="Arial"/>
        </w:rPr>
      </w:pPr>
      <w:r w:rsidRPr="00C35A24">
        <w:rPr>
          <w:rFonts w:ascii="Arial" w:hAnsi="Arial" w:cs="Arial"/>
        </w:rPr>
        <w:t xml:space="preserve">Altri protocolli del presente MOG cui si rinvia, per quanto di competenza, con particolare – ma non esclusivo – riferimento a: </w:t>
      </w:r>
    </w:p>
    <w:p w14:paraId="4CEB971F" w14:textId="1156882E" w:rsidR="000F1ADA" w:rsidRPr="00C35A24" w:rsidRDefault="000F1ADA" w:rsidP="000F1ADA">
      <w:pPr>
        <w:pStyle w:val="Default"/>
        <w:spacing w:after="42"/>
        <w:jc w:val="both"/>
        <w:rPr>
          <w:color w:val="auto"/>
          <w:sz w:val="22"/>
          <w:szCs w:val="22"/>
        </w:rPr>
      </w:pPr>
      <w:r w:rsidRPr="00C35A24">
        <w:rPr>
          <w:color w:val="auto"/>
          <w:sz w:val="22"/>
          <w:szCs w:val="22"/>
        </w:rPr>
        <w:t xml:space="preserve">- Protocollo 1 (Gestione dei rapporti con l’ODV) per quanto attiene i flussi informativi verso l’ODV; </w:t>
      </w:r>
    </w:p>
    <w:p w14:paraId="3FB2F433" w14:textId="753A847D" w:rsidR="00F85BFA" w:rsidRPr="00C35A24" w:rsidRDefault="00F85BFA" w:rsidP="000F1ADA">
      <w:pPr>
        <w:pStyle w:val="Default"/>
        <w:spacing w:after="42"/>
        <w:jc w:val="both"/>
        <w:rPr>
          <w:color w:val="auto"/>
          <w:sz w:val="22"/>
          <w:szCs w:val="22"/>
        </w:rPr>
      </w:pPr>
      <w:r w:rsidRPr="00C35A24">
        <w:rPr>
          <w:color w:val="auto"/>
          <w:sz w:val="22"/>
          <w:szCs w:val="22"/>
        </w:rPr>
        <w:t>- Protocollo 2 (Gestione dei flussi finanziari) per quanto attiene i flussi finanziari verso i fornitori;</w:t>
      </w:r>
    </w:p>
    <w:p w14:paraId="6EFB7CD3" w14:textId="40F0A516" w:rsidR="001A3143" w:rsidRPr="00C35A24" w:rsidRDefault="001A3143" w:rsidP="000F1ADA">
      <w:pPr>
        <w:pStyle w:val="Default"/>
        <w:jc w:val="both"/>
        <w:rPr>
          <w:color w:val="auto"/>
          <w:sz w:val="22"/>
          <w:szCs w:val="22"/>
        </w:rPr>
      </w:pPr>
    </w:p>
    <w:p w14:paraId="6AFA2644" w14:textId="77777777" w:rsidR="001A3143" w:rsidRPr="00C35A24" w:rsidRDefault="001A3143" w:rsidP="000F1ADA">
      <w:pPr>
        <w:pStyle w:val="Default"/>
        <w:jc w:val="both"/>
        <w:rPr>
          <w:color w:val="auto"/>
          <w:sz w:val="22"/>
          <w:szCs w:val="22"/>
        </w:rPr>
      </w:pPr>
    </w:p>
    <w:p w14:paraId="53662416" w14:textId="77777777" w:rsidR="00CF322A" w:rsidRPr="00C35A24" w:rsidRDefault="00CF322A" w:rsidP="000F1ADA">
      <w:pPr>
        <w:pStyle w:val="Default"/>
        <w:jc w:val="both"/>
        <w:rPr>
          <w:color w:val="auto"/>
          <w:sz w:val="22"/>
          <w:szCs w:val="22"/>
        </w:rPr>
      </w:pPr>
    </w:p>
    <w:p w14:paraId="39641D63" w14:textId="77777777" w:rsidR="00EE7F8C" w:rsidRPr="00C35A24" w:rsidRDefault="00EE7F8C" w:rsidP="000F1ADA">
      <w:pPr>
        <w:pStyle w:val="Default"/>
        <w:jc w:val="both"/>
        <w:rPr>
          <w:color w:val="auto"/>
          <w:sz w:val="22"/>
          <w:szCs w:val="22"/>
        </w:rPr>
      </w:pPr>
    </w:p>
    <w:p w14:paraId="3BECCA12" w14:textId="77777777" w:rsidR="000F1ADA" w:rsidRPr="00C35A24" w:rsidRDefault="000F1ADA" w:rsidP="000F1ADA">
      <w:pPr>
        <w:pStyle w:val="Paragrafoelenco"/>
        <w:numPr>
          <w:ilvl w:val="0"/>
          <w:numId w:val="1"/>
        </w:numPr>
        <w:autoSpaceDE w:val="0"/>
        <w:autoSpaceDN w:val="0"/>
        <w:adjustRightInd w:val="0"/>
        <w:spacing w:after="0" w:line="240" w:lineRule="auto"/>
        <w:jc w:val="both"/>
        <w:rPr>
          <w:rFonts w:ascii="Arial" w:hAnsi="Arial" w:cs="Arial"/>
          <w:b/>
          <w:bCs/>
        </w:rPr>
      </w:pPr>
      <w:r w:rsidRPr="00C35A24">
        <w:rPr>
          <w:rFonts w:ascii="Arial" w:hAnsi="Arial" w:cs="Arial"/>
          <w:b/>
          <w:bCs/>
        </w:rPr>
        <w:t xml:space="preserve">Procedure da applicare </w:t>
      </w:r>
    </w:p>
    <w:p w14:paraId="0610F6B3" w14:textId="77777777" w:rsidR="000F1ADA" w:rsidRPr="00C35A24" w:rsidRDefault="000F1ADA" w:rsidP="000F1ADA">
      <w:pPr>
        <w:pStyle w:val="Paragrafoelenco"/>
        <w:autoSpaceDE w:val="0"/>
        <w:autoSpaceDN w:val="0"/>
        <w:adjustRightInd w:val="0"/>
        <w:spacing w:after="0" w:line="240" w:lineRule="auto"/>
        <w:jc w:val="both"/>
        <w:rPr>
          <w:rFonts w:ascii="Arial" w:hAnsi="Arial" w:cs="Arial"/>
        </w:rPr>
      </w:pPr>
    </w:p>
    <w:p w14:paraId="53D4E28E" w14:textId="19512F25"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Ai fini della prevenzione dei reati di cui al d.lgs. 231/01 con riferimento al processo aziendale a rischio</w:t>
      </w:r>
      <w:r w:rsidR="008728C2" w:rsidRPr="00C35A24">
        <w:rPr>
          <w:rFonts w:ascii="Arial" w:hAnsi="Arial" w:cs="Arial"/>
        </w:rPr>
        <w:t xml:space="preserve"> n.1)</w:t>
      </w:r>
      <w:r w:rsidRPr="00C35A24">
        <w:rPr>
          <w:rFonts w:ascii="Arial" w:hAnsi="Arial" w:cs="Arial"/>
        </w:rPr>
        <w:t xml:space="preserve"> di “Selezione dei fornitori e gestione dei rapporti, gestione degli acquisti”, si delineano le seguenti procedure: </w:t>
      </w:r>
    </w:p>
    <w:p w14:paraId="5A8A5AD5" w14:textId="77777777" w:rsidR="009F1610" w:rsidRPr="00C35A24" w:rsidRDefault="009F1610" w:rsidP="000F1ADA">
      <w:pPr>
        <w:autoSpaceDE w:val="0"/>
        <w:autoSpaceDN w:val="0"/>
        <w:adjustRightInd w:val="0"/>
        <w:spacing w:after="0" w:line="240" w:lineRule="auto"/>
        <w:jc w:val="both"/>
        <w:rPr>
          <w:rFonts w:ascii="Arial" w:hAnsi="Arial" w:cs="Arial"/>
        </w:rPr>
      </w:pPr>
    </w:p>
    <w:p w14:paraId="29043DE6" w14:textId="77777777" w:rsidR="000F1ADA" w:rsidRPr="00C35A24" w:rsidRDefault="000F1ADA" w:rsidP="000F1ADA">
      <w:pPr>
        <w:autoSpaceDE w:val="0"/>
        <w:autoSpaceDN w:val="0"/>
        <w:adjustRightInd w:val="0"/>
        <w:spacing w:after="0" w:line="240" w:lineRule="auto"/>
        <w:jc w:val="both"/>
        <w:rPr>
          <w:rFonts w:ascii="Arial" w:hAnsi="Arial" w:cs="Arial"/>
        </w:rPr>
      </w:pPr>
    </w:p>
    <w:p w14:paraId="22C77201" w14:textId="77777777" w:rsidR="000F1ADA" w:rsidRPr="00C35A24" w:rsidRDefault="000F1ADA" w:rsidP="000F1ADA">
      <w:pPr>
        <w:numPr>
          <w:ilvl w:val="0"/>
          <w:numId w:val="5"/>
        </w:numPr>
        <w:autoSpaceDE w:val="0"/>
        <w:autoSpaceDN w:val="0"/>
        <w:adjustRightInd w:val="0"/>
        <w:spacing w:after="143" w:line="240" w:lineRule="auto"/>
        <w:jc w:val="both"/>
        <w:rPr>
          <w:rFonts w:ascii="Arial" w:hAnsi="Arial" w:cs="Arial"/>
        </w:rPr>
      </w:pPr>
      <w:r w:rsidRPr="00C35A24">
        <w:rPr>
          <w:rFonts w:ascii="Arial" w:hAnsi="Arial" w:cs="Arial"/>
        </w:rPr>
        <w:t xml:space="preserve">a) </w:t>
      </w:r>
      <w:r w:rsidRPr="00C35A24">
        <w:rPr>
          <w:rFonts w:ascii="Arial" w:hAnsi="Arial" w:cs="Arial"/>
          <w:i/>
          <w:iCs/>
        </w:rPr>
        <w:t xml:space="preserve">Selezione dei fornitori e gestione del rapporto, gestione degli acquisti </w:t>
      </w:r>
    </w:p>
    <w:p w14:paraId="586D54D9" w14:textId="77777777" w:rsidR="000F1ADA" w:rsidRPr="00C35A24" w:rsidRDefault="000F1ADA" w:rsidP="000F1ADA">
      <w:pPr>
        <w:numPr>
          <w:ilvl w:val="0"/>
          <w:numId w:val="5"/>
        </w:numPr>
        <w:autoSpaceDE w:val="0"/>
        <w:autoSpaceDN w:val="0"/>
        <w:adjustRightInd w:val="0"/>
        <w:spacing w:after="0" w:line="240" w:lineRule="auto"/>
        <w:jc w:val="both"/>
        <w:rPr>
          <w:rFonts w:ascii="Arial" w:hAnsi="Arial" w:cs="Arial"/>
        </w:rPr>
      </w:pPr>
    </w:p>
    <w:p w14:paraId="755CE36B" w14:textId="77777777" w:rsidR="000F1ADA" w:rsidRPr="00C35A24" w:rsidRDefault="000F1ADA" w:rsidP="000F1ADA">
      <w:pPr>
        <w:autoSpaceDE w:val="0"/>
        <w:autoSpaceDN w:val="0"/>
        <w:adjustRightInd w:val="0"/>
        <w:spacing w:after="0" w:line="240" w:lineRule="auto"/>
        <w:jc w:val="both"/>
        <w:rPr>
          <w:rFonts w:ascii="Arial" w:hAnsi="Arial" w:cs="Arial"/>
        </w:rPr>
      </w:pPr>
    </w:p>
    <w:p w14:paraId="078D70DE" w14:textId="5DD439E1"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La scelta dei fornitori </w:t>
      </w:r>
      <w:r w:rsidR="00214EC7" w:rsidRPr="00C35A24">
        <w:rPr>
          <w:rFonts w:ascii="Arial" w:hAnsi="Arial" w:cs="Arial"/>
        </w:rPr>
        <w:t>deve avvenire nel rispetto della normativa nazionale e di quanto espresso dal MOG 231 e dal Codice Etico, che si intendono come integralmente richiamati.</w:t>
      </w:r>
      <w:r w:rsidRPr="00C35A24">
        <w:rPr>
          <w:rFonts w:ascii="Arial" w:hAnsi="Arial" w:cs="Arial"/>
        </w:rPr>
        <w:t xml:space="preserve"> </w:t>
      </w:r>
    </w:p>
    <w:p w14:paraId="582FA4D4"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Deve escludersi dalla selezione quale fornitore il soggetto nei cui confronti: </w:t>
      </w:r>
    </w:p>
    <w:p w14:paraId="36D32AFD" w14:textId="77777777" w:rsidR="000F1ADA" w:rsidRPr="00C35A24" w:rsidRDefault="000F1ADA" w:rsidP="000F1ADA">
      <w:pPr>
        <w:autoSpaceDE w:val="0"/>
        <w:autoSpaceDN w:val="0"/>
        <w:adjustRightInd w:val="0"/>
        <w:spacing w:after="0" w:line="240" w:lineRule="auto"/>
        <w:jc w:val="both"/>
        <w:rPr>
          <w:rFonts w:ascii="Arial" w:hAnsi="Arial" w:cs="Arial"/>
        </w:rPr>
      </w:pPr>
    </w:p>
    <w:p w14:paraId="5E24FACF" w14:textId="450D1027" w:rsidR="000F1ADA" w:rsidRPr="00C35A24" w:rsidRDefault="000F1ADA" w:rsidP="000F1ADA">
      <w:pPr>
        <w:numPr>
          <w:ilvl w:val="0"/>
          <w:numId w:val="5"/>
        </w:numPr>
        <w:autoSpaceDE w:val="0"/>
        <w:autoSpaceDN w:val="0"/>
        <w:adjustRightInd w:val="0"/>
        <w:spacing w:after="143" w:line="240" w:lineRule="auto"/>
        <w:jc w:val="both"/>
        <w:rPr>
          <w:rFonts w:ascii="Arial" w:hAnsi="Arial" w:cs="Arial"/>
        </w:rPr>
      </w:pPr>
      <w:r w:rsidRPr="00C35A24">
        <w:rPr>
          <w:rFonts w:ascii="Arial" w:hAnsi="Arial" w:cs="Arial"/>
        </w:rPr>
        <w:t xml:space="preserve">- si siano verificate anomalie tali da integrare violazioni del MOG 231 e/o del Codice Etico nell’esecuzione del servizio/fornitura debitamente contestate per iscritto dalla </w:t>
      </w:r>
      <w:r w:rsidR="00214EC7" w:rsidRPr="00C35A24">
        <w:rPr>
          <w:rFonts w:ascii="Arial" w:hAnsi="Arial" w:cs="Arial"/>
        </w:rPr>
        <w:t>Fondazione</w:t>
      </w:r>
      <w:r w:rsidRPr="00C35A24">
        <w:rPr>
          <w:rFonts w:ascii="Arial" w:hAnsi="Arial" w:cs="Arial"/>
        </w:rPr>
        <w:t xml:space="preserve"> e tali da compromettere il rapporto con il fornitore </w:t>
      </w:r>
    </w:p>
    <w:p w14:paraId="4BB6BB4E" w14:textId="04BCA83D" w:rsidR="000F1ADA" w:rsidRPr="00C35A24" w:rsidRDefault="000F1ADA" w:rsidP="000F1ADA">
      <w:pPr>
        <w:numPr>
          <w:ilvl w:val="0"/>
          <w:numId w:val="5"/>
        </w:numPr>
        <w:autoSpaceDE w:val="0"/>
        <w:autoSpaceDN w:val="0"/>
        <w:adjustRightInd w:val="0"/>
        <w:spacing w:after="143" w:line="240" w:lineRule="auto"/>
        <w:jc w:val="both"/>
        <w:rPr>
          <w:rFonts w:ascii="Arial" w:hAnsi="Arial" w:cs="Arial"/>
        </w:rPr>
      </w:pPr>
      <w:r w:rsidRPr="00C35A24">
        <w:rPr>
          <w:rFonts w:ascii="Arial" w:hAnsi="Arial" w:cs="Arial"/>
        </w:rPr>
        <w:t xml:space="preserve">- siano emerse significative carenze nell’esecuzione di un precedente contratto da parte del fornitore, debitamente contestate per iscritto dalla </w:t>
      </w:r>
      <w:r w:rsidR="00214EC7" w:rsidRPr="00C35A24">
        <w:rPr>
          <w:rFonts w:ascii="Arial" w:hAnsi="Arial" w:cs="Arial"/>
        </w:rPr>
        <w:t>Fondazione</w:t>
      </w:r>
      <w:r w:rsidRPr="00C35A24">
        <w:rPr>
          <w:rFonts w:ascii="Arial" w:hAnsi="Arial" w:cs="Arial"/>
        </w:rPr>
        <w:t xml:space="preserve">; </w:t>
      </w:r>
    </w:p>
    <w:p w14:paraId="3C3C6C96" w14:textId="059F7EFD" w:rsidR="000F1ADA" w:rsidRPr="00C35A24" w:rsidRDefault="000F1ADA" w:rsidP="000F1ADA">
      <w:pPr>
        <w:numPr>
          <w:ilvl w:val="0"/>
          <w:numId w:val="5"/>
        </w:numPr>
        <w:autoSpaceDE w:val="0"/>
        <w:autoSpaceDN w:val="0"/>
        <w:adjustRightInd w:val="0"/>
        <w:spacing w:after="0" w:line="240" w:lineRule="auto"/>
        <w:jc w:val="both"/>
        <w:rPr>
          <w:rFonts w:ascii="Arial" w:hAnsi="Arial" w:cs="Arial"/>
        </w:rPr>
      </w:pPr>
      <w:r w:rsidRPr="00C35A24">
        <w:rPr>
          <w:rFonts w:ascii="Arial" w:hAnsi="Arial" w:cs="Arial"/>
        </w:rPr>
        <w:t xml:space="preserve">- siano in corso contenziosi tra la </w:t>
      </w:r>
      <w:r w:rsidR="00214EC7" w:rsidRPr="00C35A24">
        <w:rPr>
          <w:rFonts w:ascii="Arial" w:hAnsi="Arial" w:cs="Arial"/>
        </w:rPr>
        <w:t>Fondazione</w:t>
      </w:r>
      <w:r w:rsidRPr="00C35A24">
        <w:rPr>
          <w:rFonts w:ascii="Arial" w:hAnsi="Arial" w:cs="Arial"/>
        </w:rPr>
        <w:t xml:space="preserve"> ed il fornitore. </w:t>
      </w:r>
    </w:p>
    <w:p w14:paraId="751E9ABE" w14:textId="77777777" w:rsidR="000F1ADA" w:rsidRPr="00C35A24" w:rsidRDefault="000F1ADA" w:rsidP="000F1ADA">
      <w:pPr>
        <w:autoSpaceDE w:val="0"/>
        <w:autoSpaceDN w:val="0"/>
        <w:adjustRightInd w:val="0"/>
        <w:spacing w:after="0" w:line="240" w:lineRule="auto"/>
        <w:jc w:val="both"/>
        <w:rPr>
          <w:rFonts w:ascii="Arial" w:hAnsi="Arial" w:cs="Arial"/>
        </w:rPr>
      </w:pPr>
    </w:p>
    <w:p w14:paraId="4D130CED" w14:textId="77777777" w:rsidR="00FA6CA6" w:rsidRPr="00C35A24" w:rsidRDefault="00FA6CA6" w:rsidP="000F1ADA">
      <w:pPr>
        <w:autoSpaceDE w:val="0"/>
        <w:autoSpaceDN w:val="0"/>
        <w:adjustRightInd w:val="0"/>
        <w:spacing w:after="0" w:line="240" w:lineRule="auto"/>
        <w:jc w:val="both"/>
        <w:rPr>
          <w:rFonts w:ascii="Arial" w:hAnsi="Arial" w:cs="Arial"/>
        </w:rPr>
      </w:pPr>
    </w:p>
    <w:p w14:paraId="14091F7E"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L’ODV ha facoltà di verificare la corretta applicazione di tali procedure. </w:t>
      </w:r>
    </w:p>
    <w:p w14:paraId="3D09E151" w14:textId="77777777" w:rsidR="000F1ADA" w:rsidRPr="00C35A24" w:rsidRDefault="000F1ADA" w:rsidP="000F1ADA">
      <w:pPr>
        <w:autoSpaceDE w:val="0"/>
        <w:autoSpaceDN w:val="0"/>
        <w:adjustRightInd w:val="0"/>
        <w:spacing w:after="0" w:line="240" w:lineRule="auto"/>
        <w:jc w:val="both"/>
        <w:rPr>
          <w:rFonts w:ascii="Arial" w:hAnsi="Arial" w:cs="Arial"/>
        </w:rPr>
      </w:pPr>
    </w:p>
    <w:p w14:paraId="3F15B146" w14:textId="77777777" w:rsidR="000F1ADA" w:rsidRPr="00C35A24" w:rsidRDefault="000F1ADA" w:rsidP="000F1ADA">
      <w:pPr>
        <w:numPr>
          <w:ilvl w:val="0"/>
          <w:numId w:val="6"/>
        </w:numPr>
        <w:autoSpaceDE w:val="0"/>
        <w:autoSpaceDN w:val="0"/>
        <w:adjustRightInd w:val="0"/>
        <w:spacing w:after="0" w:line="240" w:lineRule="auto"/>
        <w:jc w:val="both"/>
        <w:rPr>
          <w:rFonts w:ascii="Arial" w:hAnsi="Arial" w:cs="Arial"/>
          <w:i/>
          <w:iCs/>
        </w:rPr>
      </w:pPr>
      <w:r w:rsidRPr="00C35A24">
        <w:rPr>
          <w:rFonts w:ascii="Arial" w:hAnsi="Arial" w:cs="Arial"/>
          <w:i/>
          <w:iCs/>
        </w:rPr>
        <w:t xml:space="preserve">b) Contrattualizzazione del rapporto </w:t>
      </w:r>
    </w:p>
    <w:p w14:paraId="3E3EA3E5" w14:textId="77777777" w:rsidR="000F1ADA" w:rsidRPr="00C35A24" w:rsidRDefault="000F1ADA" w:rsidP="000F1ADA">
      <w:pPr>
        <w:autoSpaceDE w:val="0"/>
        <w:autoSpaceDN w:val="0"/>
        <w:adjustRightInd w:val="0"/>
        <w:spacing w:after="0" w:line="240" w:lineRule="auto"/>
        <w:jc w:val="both"/>
        <w:rPr>
          <w:rFonts w:ascii="Arial" w:hAnsi="Arial" w:cs="Arial"/>
        </w:rPr>
      </w:pPr>
    </w:p>
    <w:p w14:paraId="04225D64"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I fornitori vengono messi a conoscenza dell’esistenza e dell’applicazione del Modello di Organizzazione, Gestione e Controllo ex D.lgs. 231/2001 e dell’allegato Codice Etico tramite specifica clausola nella relativa contrattualistica o in base a quanto indicato nei moduli d’ordine. </w:t>
      </w:r>
    </w:p>
    <w:p w14:paraId="35656699" w14:textId="77777777" w:rsidR="000F1ADA" w:rsidRPr="00C35A24" w:rsidRDefault="000F1ADA" w:rsidP="000F1ADA">
      <w:pPr>
        <w:autoSpaceDE w:val="0"/>
        <w:autoSpaceDN w:val="0"/>
        <w:adjustRightInd w:val="0"/>
        <w:spacing w:after="0" w:line="240" w:lineRule="auto"/>
        <w:jc w:val="both"/>
        <w:rPr>
          <w:rFonts w:ascii="Arial" w:hAnsi="Arial" w:cs="Arial"/>
        </w:rPr>
      </w:pPr>
    </w:p>
    <w:p w14:paraId="0E1DC7F0"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Il fornitore deve pertanto essere messo a conoscenza dell’esistenza del Codice Etico, deve riceverne copia ovvero deve essere informato delle modalità attraverso le quali può prenderne visione (ad esempio, rimandando al sito internet societario), dell’obbligo del suo rispetto, nonché delle conseguenze in caso di violazione dello stesso. </w:t>
      </w:r>
    </w:p>
    <w:p w14:paraId="278BF930" w14:textId="77777777" w:rsidR="000F1ADA" w:rsidRPr="00C35A24" w:rsidRDefault="000F1ADA" w:rsidP="000F1ADA">
      <w:pPr>
        <w:autoSpaceDE w:val="0"/>
        <w:autoSpaceDN w:val="0"/>
        <w:adjustRightInd w:val="0"/>
        <w:spacing w:after="0" w:line="240" w:lineRule="auto"/>
        <w:jc w:val="both"/>
        <w:rPr>
          <w:rFonts w:ascii="Arial" w:hAnsi="Arial" w:cs="Arial"/>
        </w:rPr>
      </w:pPr>
    </w:p>
    <w:p w14:paraId="3FE3665A" w14:textId="2CF5742A"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La violazione del Codice Etico e/o del MOG231 da parte del fornitore può comportare la risoluzione del contratto con effetto dal momento dell’accertamento residuando in capo alla </w:t>
      </w:r>
      <w:r w:rsidR="00214EC7" w:rsidRPr="00C35A24">
        <w:rPr>
          <w:rFonts w:ascii="Arial" w:hAnsi="Arial" w:cs="Arial"/>
        </w:rPr>
        <w:t>Fondazione</w:t>
      </w:r>
      <w:r w:rsidRPr="00C35A24">
        <w:rPr>
          <w:rFonts w:ascii="Arial" w:hAnsi="Arial" w:cs="Arial"/>
        </w:rPr>
        <w:t xml:space="preserve"> il diritto al risarcimento del danno.</w:t>
      </w:r>
    </w:p>
    <w:p w14:paraId="11DA6237"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 </w:t>
      </w:r>
    </w:p>
    <w:p w14:paraId="01F69174" w14:textId="77777777" w:rsidR="000F1ADA" w:rsidRPr="00C35A24" w:rsidRDefault="000F1ADA" w:rsidP="000F1ADA">
      <w:pPr>
        <w:pStyle w:val="Default"/>
        <w:jc w:val="both"/>
        <w:rPr>
          <w:color w:val="auto"/>
          <w:sz w:val="22"/>
          <w:szCs w:val="22"/>
        </w:rPr>
      </w:pPr>
      <w:r w:rsidRPr="00C35A24">
        <w:rPr>
          <w:color w:val="auto"/>
          <w:sz w:val="22"/>
          <w:szCs w:val="22"/>
        </w:rPr>
        <w:t>L’ODV ha facoltà di verificare la corretta applicazione di tali procedure.</w:t>
      </w:r>
    </w:p>
    <w:p w14:paraId="6B36CED4" w14:textId="77777777" w:rsidR="000F1ADA" w:rsidRPr="00C35A24" w:rsidRDefault="000F1ADA" w:rsidP="000F1ADA">
      <w:pPr>
        <w:pStyle w:val="Default"/>
        <w:jc w:val="both"/>
        <w:rPr>
          <w:color w:val="auto"/>
          <w:sz w:val="22"/>
          <w:szCs w:val="22"/>
        </w:rPr>
      </w:pPr>
    </w:p>
    <w:p w14:paraId="30A983FE" w14:textId="77777777" w:rsidR="000F1ADA" w:rsidRPr="00C35A24" w:rsidRDefault="000F1ADA" w:rsidP="000F1ADA">
      <w:pPr>
        <w:autoSpaceDE w:val="0"/>
        <w:autoSpaceDN w:val="0"/>
        <w:adjustRightInd w:val="0"/>
        <w:spacing w:after="0" w:line="240" w:lineRule="auto"/>
        <w:jc w:val="both"/>
        <w:rPr>
          <w:rFonts w:ascii="Arial" w:hAnsi="Arial" w:cs="Arial"/>
        </w:rPr>
      </w:pPr>
    </w:p>
    <w:p w14:paraId="7239841B"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r w:rsidRPr="00C35A24">
        <w:rPr>
          <w:rFonts w:ascii="Arial" w:hAnsi="Arial" w:cs="Arial"/>
        </w:rPr>
        <w:t xml:space="preserve">c) </w:t>
      </w:r>
      <w:r w:rsidRPr="00C35A24">
        <w:rPr>
          <w:rFonts w:ascii="Arial" w:hAnsi="Arial" w:cs="Arial"/>
          <w:i/>
          <w:iCs/>
        </w:rPr>
        <w:t>Gestione del rapporto con i fornitori; Gestione degli acquisti</w:t>
      </w:r>
    </w:p>
    <w:p w14:paraId="238E0209"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p>
    <w:p w14:paraId="19F0E16C" w14:textId="7C05ED8A"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r w:rsidRPr="00C35A24">
        <w:rPr>
          <w:rFonts w:ascii="Arial" w:hAnsi="Arial" w:cs="Arial"/>
        </w:rPr>
        <w:t>Ogni fornitura di beni o servizi deve avvenire nel rispetto della procedura aziendale di riferimento (approvvigionamento)</w:t>
      </w:r>
      <w:r w:rsidR="00830BA3" w:rsidRPr="00C35A24">
        <w:rPr>
          <w:rFonts w:ascii="Arial" w:hAnsi="Arial" w:cs="Arial"/>
        </w:rPr>
        <w:t xml:space="preserve"> PQ 01</w:t>
      </w:r>
      <w:r w:rsidRPr="00C35A24">
        <w:rPr>
          <w:rFonts w:ascii="Arial" w:hAnsi="Arial" w:cs="Arial"/>
        </w:rPr>
        <w:t>, che viene integramente richiamata</w:t>
      </w:r>
      <w:r w:rsidR="00830BA3" w:rsidRPr="00C35A24">
        <w:rPr>
          <w:rFonts w:ascii="Arial" w:hAnsi="Arial" w:cs="Arial"/>
        </w:rPr>
        <w:t xml:space="preserve"> (lo stesso dicasi con riferimento alla gestione dei farmaci, che sarà comunque oggetto di approfondimento nel protocollo 1</w:t>
      </w:r>
      <w:r w:rsidR="003423D0" w:rsidRPr="00C35A24">
        <w:rPr>
          <w:rFonts w:ascii="Arial" w:hAnsi="Arial" w:cs="Arial"/>
        </w:rPr>
        <w:t>0</w:t>
      </w:r>
      <w:r w:rsidR="00830BA3" w:rsidRPr="00C35A24">
        <w:rPr>
          <w:rFonts w:ascii="Arial" w:hAnsi="Arial" w:cs="Arial"/>
        </w:rPr>
        <w:t xml:space="preserve"> di “gestione de</w:t>
      </w:r>
      <w:r w:rsidR="003423D0" w:rsidRPr="00C35A24">
        <w:rPr>
          <w:rFonts w:ascii="Arial" w:hAnsi="Arial" w:cs="Arial"/>
        </w:rPr>
        <w:t xml:space="preserve">lla salute dei </w:t>
      </w:r>
      <w:r w:rsidR="00830BA3" w:rsidRPr="00C35A24">
        <w:rPr>
          <w:rFonts w:ascii="Arial" w:hAnsi="Arial" w:cs="Arial"/>
        </w:rPr>
        <w:t>pazienti</w:t>
      </w:r>
      <w:r w:rsidR="003423D0" w:rsidRPr="00C35A24">
        <w:rPr>
          <w:rFonts w:ascii="Arial" w:hAnsi="Arial" w:cs="Arial"/>
        </w:rPr>
        <w:t xml:space="preserve"> e dell’erogazione del servizio</w:t>
      </w:r>
      <w:r w:rsidR="00830BA3" w:rsidRPr="00C35A24">
        <w:rPr>
          <w:rFonts w:ascii="Arial" w:hAnsi="Arial" w:cs="Arial"/>
        </w:rPr>
        <w:t>”)</w:t>
      </w:r>
    </w:p>
    <w:p w14:paraId="4904B105"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p>
    <w:p w14:paraId="5407DCEA" w14:textId="53C5E4F5" w:rsidR="000F1ADA" w:rsidRPr="00C35A24" w:rsidRDefault="000F1ADA" w:rsidP="000F1ADA">
      <w:pPr>
        <w:pStyle w:val="Paragrafoelenco"/>
        <w:numPr>
          <w:ilvl w:val="0"/>
          <w:numId w:val="7"/>
        </w:numPr>
        <w:autoSpaceDE w:val="0"/>
        <w:autoSpaceDN w:val="0"/>
        <w:adjustRightInd w:val="0"/>
        <w:spacing w:after="0" w:line="240" w:lineRule="auto"/>
        <w:jc w:val="both"/>
        <w:rPr>
          <w:rFonts w:ascii="Arial" w:hAnsi="Arial" w:cs="Arial"/>
        </w:rPr>
      </w:pPr>
      <w:r w:rsidRPr="00C35A24">
        <w:rPr>
          <w:rFonts w:ascii="Arial" w:hAnsi="Arial" w:cs="Arial"/>
        </w:rPr>
        <w:t xml:space="preserve">La </w:t>
      </w:r>
      <w:r w:rsidR="00214EC7" w:rsidRPr="00C35A24">
        <w:rPr>
          <w:rFonts w:ascii="Arial" w:hAnsi="Arial" w:cs="Arial"/>
        </w:rPr>
        <w:t>Fondazione</w:t>
      </w:r>
      <w:r w:rsidRPr="00C35A24">
        <w:rPr>
          <w:rFonts w:ascii="Arial" w:hAnsi="Arial" w:cs="Arial"/>
        </w:rPr>
        <w:t xml:space="preserve"> deve comunque sempre valutare: </w:t>
      </w:r>
    </w:p>
    <w:p w14:paraId="4CB2DD84"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p>
    <w:p w14:paraId="04E8E8FF"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r w:rsidRPr="00C35A24">
        <w:rPr>
          <w:rFonts w:ascii="Arial" w:hAnsi="Arial" w:cs="Arial"/>
          <w:i/>
          <w:iCs/>
        </w:rPr>
        <w:t xml:space="preserve">- </w:t>
      </w:r>
      <w:r w:rsidRPr="00C35A24">
        <w:rPr>
          <w:rFonts w:ascii="Arial" w:hAnsi="Arial" w:cs="Arial"/>
        </w:rPr>
        <w:t xml:space="preserve">la conformità del bene consegnato rispetto all’ordine; </w:t>
      </w:r>
    </w:p>
    <w:p w14:paraId="763F4285"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r w:rsidRPr="00C35A24">
        <w:rPr>
          <w:rFonts w:ascii="Arial" w:hAnsi="Arial" w:cs="Arial"/>
        </w:rPr>
        <w:t xml:space="preserve">- la diligenza nell’esecuzione della prestazione in linea con quanto stabilito nel contratto e nell’ordine; </w:t>
      </w:r>
    </w:p>
    <w:p w14:paraId="73E7D7E2" w14:textId="77777777" w:rsidR="000F1ADA" w:rsidRPr="00C35A24" w:rsidRDefault="000F1ADA" w:rsidP="000F1ADA">
      <w:pPr>
        <w:numPr>
          <w:ilvl w:val="0"/>
          <w:numId w:val="7"/>
        </w:numPr>
        <w:autoSpaceDE w:val="0"/>
        <w:autoSpaceDN w:val="0"/>
        <w:adjustRightInd w:val="0"/>
        <w:spacing w:after="23" w:line="240" w:lineRule="auto"/>
        <w:jc w:val="both"/>
        <w:rPr>
          <w:rFonts w:ascii="Arial" w:hAnsi="Arial" w:cs="Arial"/>
        </w:rPr>
      </w:pPr>
      <w:r w:rsidRPr="00C35A24">
        <w:rPr>
          <w:rFonts w:ascii="Arial" w:hAnsi="Arial" w:cs="Arial"/>
        </w:rPr>
        <w:t>- l’ordinarietà dei mezzi di reperimento e consegna dei beni.</w:t>
      </w:r>
    </w:p>
    <w:p w14:paraId="2051E4C7" w14:textId="77777777" w:rsidR="000F1ADA" w:rsidRPr="00C35A24" w:rsidRDefault="000F1ADA" w:rsidP="000F1ADA">
      <w:pPr>
        <w:autoSpaceDE w:val="0"/>
        <w:autoSpaceDN w:val="0"/>
        <w:adjustRightInd w:val="0"/>
        <w:spacing w:after="23" w:line="240" w:lineRule="auto"/>
        <w:jc w:val="both"/>
        <w:rPr>
          <w:rFonts w:ascii="Arial" w:hAnsi="Arial" w:cs="Arial"/>
        </w:rPr>
      </w:pPr>
    </w:p>
    <w:p w14:paraId="00C25A86"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 In caso di: </w:t>
      </w:r>
    </w:p>
    <w:p w14:paraId="3B176AF2" w14:textId="77777777" w:rsidR="000F1ADA" w:rsidRPr="00C35A24" w:rsidRDefault="000F1ADA" w:rsidP="000F1ADA">
      <w:pPr>
        <w:autoSpaceDE w:val="0"/>
        <w:autoSpaceDN w:val="0"/>
        <w:adjustRightInd w:val="0"/>
        <w:spacing w:after="23" w:line="240" w:lineRule="auto"/>
        <w:jc w:val="both"/>
        <w:rPr>
          <w:rFonts w:ascii="Arial" w:hAnsi="Arial" w:cs="Arial"/>
        </w:rPr>
      </w:pPr>
    </w:p>
    <w:p w14:paraId="0C6E9C76" w14:textId="77777777" w:rsidR="000F1ADA" w:rsidRPr="00C35A24" w:rsidRDefault="000F1ADA" w:rsidP="000F1ADA">
      <w:pPr>
        <w:numPr>
          <w:ilvl w:val="0"/>
          <w:numId w:val="8"/>
        </w:numPr>
        <w:autoSpaceDE w:val="0"/>
        <w:autoSpaceDN w:val="0"/>
        <w:adjustRightInd w:val="0"/>
        <w:spacing w:after="23" w:line="240" w:lineRule="auto"/>
        <w:jc w:val="both"/>
        <w:rPr>
          <w:rFonts w:ascii="Arial" w:hAnsi="Arial" w:cs="Arial"/>
        </w:rPr>
      </w:pPr>
      <w:r w:rsidRPr="00C35A24">
        <w:rPr>
          <w:rFonts w:ascii="Arial" w:hAnsi="Arial" w:cs="Arial"/>
        </w:rPr>
        <w:t xml:space="preserve">prezzo non congruo; </w:t>
      </w:r>
    </w:p>
    <w:p w14:paraId="483E116F" w14:textId="77777777" w:rsidR="000F1ADA" w:rsidRPr="00C35A24" w:rsidRDefault="000F1ADA" w:rsidP="000F1ADA">
      <w:pPr>
        <w:numPr>
          <w:ilvl w:val="0"/>
          <w:numId w:val="8"/>
        </w:numPr>
        <w:autoSpaceDE w:val="0"/>
        <w:autoSpaceDN w:val="0"/>
        <w:adjustRightInd w:val="0"/>
        <w:spacing w:after="23" w:line="240" w:lineRule="auto"/>
        <w:jc w:val="both"/>
        <w:rPr>
          <w:rFonts w:ascii="Arial" w:hAnsi="Arial" w:cs="Arial"/>
        </w:rPr>
      </w:pPr>
      <w:r w:rsidRPr="00C35A24">
        <w:rPr>
          <w:rFonts w:ascii="Arial" w:hAnsi="Arial" w:cs="Arial"/>
        </w:rPr>
        <w:t xml:space="preserve">anomalia nei mezzi di trasporto; </w:t>
      </w:r>
    </w:p>
    <w:p w14:paraId="102FA2B9" w14:textId="77777777" w:rsidR="000F1ADA" w:rsidRPr="00C35A24" w:rsidRDefault="000F1ADA" w:rsidP="000F1ADA">
      <w:pPr>
        <w:numPr>
          <w:ilvl w:val="0"/>
          <w:numId w:val="8"/>
        </w:numPr>
        <w:autoSpaceDE w:val="0"/>
        <w:autoSpaceDN w:val="0"/>
        <w:adjustRightInd w:val="0"/>
        <w:spacing w:after="0" w:line="240" w:lineRule="auto"/>
        <w:jc w:val="both"/>
        <w:rPr>
          <w:rFonts w:ascii="Arial" w:hAnsi="Arial" w:cs="Arial"/>
        </w:rPr>
      </w:pPr>
      <w:r w:rsidRPr="00C35A24">
        <w:rPr>
          <w:rFonts w:ascii="Arial" w:hAnsi="Arial" w:cs="Arial"/>
        </w:rPr>
        <w:t xml:space="preserve">anomalie nelle modalità di consegna e nella confezione del prodotto consegnato, </w:t>
      </w:r>
    </w:p>
    <w:p w14:paraId="0E824D0E" w14:textId="77777777" w:rsidR="000F1ADA" w:rsidRPr="00C35A24" w:rsidRDefault="000F1ADA" w:rsidP="000F1ADA">
      <w:pPr>
        <w:numPr>
          <w:ilvl w:val="0"/>
          <w:numId w:val="7"/>
        </w:numPr>
        <w:autoSpaceDE w:val="0"/>
        <w:autoSpaceDN w:val="0"/>
        <w:adjustRightInd w:val="0"/>
        <w:spacing w:after="0" w:line="240" w:lineRule="auto"/>
        <w:jc w:val="both"/>
        <w:rPr>
          <w:rFonts w:ascii="Arial" w:hAnsi="Arial" w:cs="Arial"/>
        </w:rPr>
      </w:pPr>
    </w:p>
    <w:p w14:paraId="37D2CE41"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lastRenderedPageBreak/>
        <w:t xml:space="preserve">tali da far ritenere che il bene sia di provenienza delittuosa, i Responsabili di Funzioni aventi riscontrato una delle suddette problematiche sono tenuti a sospendere la fornitura del bene e a darne immediata comunicazione al Presidente del CDA ed all’OdV a mezzo degli appositi canali di cui al Protocollo 1. </w:t>
      </w:r>
    </w:p>
    <w:p w14:paraId="2D3F67FC" w14:textId="77777777" w:rsidR="000F1ADA" w:rsidRPr="00C35A24" w:rsidRDefault="000F1ADA" w:rsidP="000F1ADA">
      <w:pPr>
        <w:autoSpaceDE w:val="0"/>
        <w:autoSpaceDN w:val="0"/>
        <w:adjustRightInd w:val="0"/>
        <w:spacing w:after="0" w:line="240" w:lineRule="auto"/>
        <w:jc w:val="both"/>
        <w:rPr>
          <w:rFonts w:ascii="Arial" w:hAnsi="Arial" w:cs="Arial"/>
        </w:rPr>
      </w:pPr>
    </w:p>
    <w:p w14:paraId="4203797D" w14:textId="1A587EDD" w:rsidR="008A7B28" w:rsidRPr="00C35A24" w:rsidRDefault="008A7B28" w:rsidP="000F1ADA">
      <w:pPr>
        <w:autoSpaceDE w:val="0"/>
        <w:autoSpaceDN w:val="0"/>
        <w:adjustRightInd w:val="0"/>
        <w:spacing w:after="0" w:line="240" w:lineRule="auto"/>
        <w:jc w:val="both"/>
        <w:rPr>
          <w:rFonts w:ascii="Arial" w:hAnsi="Arial" w:cs="Arial"/>
        </w:rPr>
      </w:pPr>
    </w:p>
    <w:p w14:paraId="4414650C" w14:textId="620EE8FF" w:rsidR="001A3143" w:rsidRPr="00C35A24" w:rsidRDefault="001A3143" w:rsidP="000F1ADA">
      <w:pPr>
        <w:autoSpaceDE w:val="0"/>
        <w:autoSpaceDN w:val="0"/>
        <w:adjustRightInd w:val="0"/>
        <w:spacing w:after="0" w:line="240" w:lineRule="auto"/>
        <w:jc w:val="both"/>
        <w:rPr>
          <w:rFonts w:ascii="Arial" w:hAnsi="Arial" w:cs="Arial"/>
        </w:rPr>
      </w:pPr>
      <w:r w:rsidRPr="00C35A24">
        <w:rPr>
          <w:rFonts w:ascii="Arial" w:hAnsi="Arial" w:cs="Arial"/>
        </w:rPr>
        <w:t>La gestione del rapporto con i fornitori deve sempre avvenire nel rispetto di tutta la documentazione attestante le disposizioni adottate per la prevenzione e la tutela della salute degli ospiti al fine di contrastare l’emergenza epidemiologica da virus Covid 19.</w:t>
      </w:r>
    </w:p>
    <w:p w14:paraId="50079E94" w14:textId="6AD337E6" w:rsidR="008A7B28" w:rsidRPr="00C35A24" w:rsidRDefault="008A7B28" w:rsidP="000F1ADA">
      <w:pPr>
        <w:autoSpaceDE w:val="0"/>
        <w:autoSpaceDN w:val="0"/>
        <w:adjustRightInd w:val="0"/>
        <w:spacing w:after="0" w:line="240" w:lineRule="auto"/>
        <w:jc w:val="both"/>
        <w:rPr>
          <w:rFonts w:ascii="Arial" w:hAnsi="Arial" w:cs="Arial"/>
        </w:rPr>
      </w:pPr>
    </w:p>
    <w:p w14:paraId="608F00C4" w14:textId="184DCAB0" w:rsidR="002C4658" w:rsidRPr="00C35A24" w:rsidRDefault="001A3143" w:rsidP="000F1ADA">
      <w:pPr>
        <w:autoSpaceDE w:val="0"/>
        <w:autoSpaceDN w:val="0"/>
        <w:adjustRightInd w:val="0"/>
        <w:spacing w:after="0" w:line="240" w:lineRule="auto"/>
        <w:jc w:val="both"/>
        <w:rPr>
          <w:rFonts w:ascii="Arial" w:hAnsi="Arial" w:cs="Arial"/>
        </w:rPr>
      </w:pPr>
      <w:r w:rsidRPr="00C35A24">
        <w:rPr>
          <w:rFonts w:ascii="Arial" w:hAnsi="Arial" w:cs="Arial"/>
        </w:rPr>
        <w:t>Il fornitore, oltre a dover osservare quanto comunicato dalla Fondazione mediante specifica documentazione, deve comunque attenersi anche a quanto previsto nel Protocollo condiviso di regolamentazione delle misure per il contrasto e il contenimento della diffusione del virus Covid 19 negli ambienti di lavoro del 14 Marzo 2020 ed eventuali successive modifiche e integrazioni</w:t>
      </w:r>
    </w:p>
    <w:p w14:paraId="7B65927B" w14:textId="77777777" w:rsidR="001A3143" w:rsidRPr="00C35A24" w:rsidRDefault="001A3143" w:rsidP="000F1ADA">
      <w:pPr>
        <w:autoSpaceDE w:val="0"/>
        <w:autoSpaceDN w:val="0"/>
        <w:adjustRightInd w:val="0"/>
        <w:spacing w:after="0" w:line="240" w:lineRule="auto"/>
        <w:jc w:val="both"/>
        <w:rPr>
          <w:rFonts w:ascii="Arial" w:hAnsi="Arial" w:cs="Arial"/>
        </w:rPr>
      </w:pPr>
    </w:p>
    <w:p w14:paraId="21B4C613" w14:textId="39AEE8A0" w:rsidR="002C4658" w:rsidRPr="00C35A24" w:rsidRDefault="002C4658" w:rsidP="002C4658">
      <w:pPr>
        <w:pStyle w:val="Paragrafoelenco"/>
        <w:numPr>
          <w:ilvl w:val="0"/>
          <w:numId w:val="15"/>
        </w:numPr>
        <w:autoSpaceDE w:val="0"/>
        <w:autoSpaceDN w:val="0"/>
        <w:adjustRightInd w:val="0"/>
        <w:spacing w:after="0" w:line="240" w:lineRule="auto"/>
        <w:jc w:val="both"/>
        <w:rPr>
          <w:rFonts w:ascii="Arial" w:hAnsi="Arial" w:cs="Arial"/>
          <w:i/>
          <w:iCs/>
          <w:u w:val="single"/>
        </w:rPr>
      </w:pPr>
      <w:r w:rsidRPr="00C35A24">
        <w:rPr>
          <w:rFonts w:ascii="Arial" w:hAnsi="Arial" w:cs="Arial"/>
          <w:i/>
          <w:iCs/>
          <w:u w:val="single"/>
        </w:rPr>
        <w:t>Gestione del Sistema qualità</w:t>
      </w:r>
    </w:p>
    <w:p w14:paraId="061F07BD" w14:textId="089883C3" w:rsidR="002C4658" w:rsidRPr="00C35A24" w:rsidRDefault="002C4658" w:rsidP="002C4658">
      <w:pPr>
        <w:autoSpaceDE w:val="0"/>
        <w:autoSpaceDN w:val="0"/>
        <w:adjustRightInd w:val="0"/>
        <w:spacing w:after="0" w:line="240" w:lineRule="auto"/>
        <w:jc w:val="both"/>
        <w:rPr>
          <w:rFonts w:ascii="Arial" w:hAnsi="Arial" w:cs="Arial"/>
          <w:i/>
          <w:iCs/>
          <w:u w:val="single"/>
        </w:rPr>
      </w:pPr>
    </w:p>
    <w:p w14:paraId="5E037800" w14:textId="1478D7A2" w:rsidR="002C4658" w:rsidRPr="00C35A24" w:rsidRDefault="002C4658" w:rsidP="002C4658">
      <w:pPr>
        <w:autoSpaceDE w:val="0"/>
        <w:autoSpaceDN w:val="0"/>
        <w:adjustRightInd w:val="0"/>
        <w:spacing w:after="0" w:line="240" w:lineRule="auto"/>
        <w:jc w:val="both"/>
        <w:rPr>
          <w:rFonts w:ascii="Arial" w:hAnsi="Arial" w:cs="Arial"/>
        </w:rPr>
      </w:pPr>
      <w:r w:rsidRPr="00C35A24">
        <w:rPr>
          <w:rFonts w:ascii="Arial" w:hAnsi="Arial" w:cs="Arial"/>
        </w:rPr>
        <w:t>Con riferimento alla presente procedura di prevenzione, la Fondazione, nell’esercizio della propria attività, deve attenersi obbligatoriamente a quanto previsto dalla procedura aziendale PQ 06 di “gestione della qualità”, che diventa parte integrante del presente protocollo.</w:t>
      </w:r>
    </w:p>
    <w:p w14:paraId="344B1D9C" w14:textId="77777777" w:rsidR="002A78B7" w:rsidRPr="00C35A24" w:rsidRDefault="002A78B7" w:rsidP="002C4658">
      <w:pPr>
        <w:autoSpaceDE w:val="0"/>
        <w:autoSpaceDN w:val="0"/>
        <w:adjustRightInd w:val="0"/>
        <w:spacing w:after="0" w:line="240" w:lineRule="auto"/>
        <w:jc w:val="both"/>
        <w:rPr>
          <w:rFonts w:ascii="Arial" w:hAnsi="Arial" w:cs="Arial"/>
        </w:rPr>
      </w:pPr>
    </w:p>
    <w:p w14:paraId="7E9306E5" w14:textId="2B81611D" w:rsidR="002A78B7" w:rsidRPr="00C35A24" w:rsidRDefault="002A78B7" w:rsidP="002A78B7">
      <w:pPr>
        <w:autoSpaceDE w:val="0"/>
        <w:autoSpaceDN w:val="0"/>
        <w:adjustRightInd w:val="0"/>
        <w:spacing w:after="0" w:line="240" w:lineRule="auto"/>
        <w:jc w:val="center"/>
        <w:rPr>
          <w:rFonts w:ascii="Arial" w:hAnsi="Arial" w:cs="Arial"/>
        </w:rPr>
      </w:pPr>
      <w:r w:rsidRPr="00C35A24">
        <w:rPr>
          <w:rFonts w:ascii="Arial" w:hAnsi="Arial" w:cs="Arial"/>
        </w:rPr>
        <w:t>***</w:t>
      </w:r>
    </w:p>
    <w:p w14:paraId="1AE6DC3E" w14:textId="77777777" w:rsidR="00FA6CA6" w:rsidRPr="00C35A24" w:rsidRDefault="00FA6CA6" w:rsidP="000F1ADA">
      <w:pPr>
        <w:autoSpaceDE w:val="0"/>
        <w:autoSpaceDN w:val="0"/>
        <w:adjustRightInd w:val="0"/>
        <w:spacing w:after="0" w:line="240" w:lineRule="auto"/>
        <w:jc w:val="both"/>
        <w:rPr>
          <w:rFonts w:ascii="Arial" w:hAnsi="Arial" w:cs="Arial"/>
        </w:rPr>
      </w:pPr>
    </w:p>
    <w:p w14:paraId="7C2E3E72" w14:textId="7D0E47F4" w:rsidR="002A78B7" w:rsidRPr="00C35A24" w:rsidRDefault="002A78B7" w:rsidP="002A78B7">
      <w:pPr>
        <w:jc w:val="both"/>
        <w:rPr>
          <w:rFonts w:ascii="Arial" w:hAnsi="Arial" w:cs="Arial"/>
        </w:rPr>
      </w:pPr>
      <w:r w:rsidRPr="00C35A24">
        <w:rPr>
          <w:rFonts w:ascii="Arial" w:hAnsi="Arial" w:cs="Arial"/>
        </w:rPr>
        <w:t>La Fondazione, nell’espletamento delle suddette procedure di prevenzione , deve sempre osservare la normativa antiriciclaggio, in ossequio a quanto disposto al protocollo 2, paragrafo 5.a).4.</w:t>
      </w:r>
    </w:p>
    <w:p w14:paraId="077A6443" w14:textId="77777777" w:rsidR="002A78B7" w:rsidRPr="00C35A24" w:rsidRDefault="002A78B7" w:rsidP="000F1ADA">
      <w:pPr>
        <w:autoSpaceDE w:val="0"/>
        <w:autoSpaceDN w:val="0"/>
        <w:adjustRightInd w:val="0"/>
        <w:spacing w:after="0" w:line="240" w:lineRule="auto"/>
        <w:jc w:val="both"/>
        <w:rPr>
          <w:rFonts w:ascii="Arial" w:hAnsi="Arial" w:cs="Arial"/>
        </w:rPr>
      </w:pPr>
    </w:p>
    <w:p w14:paraId="09246561" w14:textId="77777777" w:rsidR="000F1ADA" w:rsidRPr="00C35A24" w:rsidRDefault="000F1ADA" w:rsidP="000F1ADA">
      <w:pPr>
        <w:autoSpaceDE w:val="0"/>
        <w:autoSpaceDN w:val="0"/>
        <w:adjustRightInd w:val="0"/>
        <w:spacing w:after="0" w:line="240" w:lineRule="auto"/>
        <w:jc w:val="both"/>
        <w:rPr>
          <w:rFonts w:ascii="Arial" w:hAnsi="Arial" w:cs="Arial"/>
        </w:rPr>
      </w:pPr>
    </w:p>
    <w:p w14:paraId="5451ED1D" w14:textId="77777777" w:rsidR="000F1ADA" w:rsidRPr="00C35A24" w:rsidRDefault="000F1ADA" w:rsidP="008728C2">
      <w:pPr>
        <w:pStyle w:val="Paragrafoelenco"/>
        <w:numPr>
          <w:ilvl w:val="0"/>
          <w:numId w:val="15"/>
        </w:numPr>
        <w:autoSpaceDE w:val="0"/>
        <w:autoSpaceDN w:val="0"/>
        <w:adjustRightInd w:val="0"/>
        <w:spacing w:after="0" w:line="240" w:lineRule="auto"/>
        <w:jc w:val="both"/>
        <w:rPr>
          <w:rFonts w:ascii="Arial" w:hAnsi="Arial" w:cs="Arial"/>
          <w:b/>
          <w:bCs/>
        </w:rPr>
      </w:pPr>
      <w:r w:rsidRPr="00C35A24">
        <w:rPr>
          <w:rFonts w:ascii="Arial" w:hAnsi="Arial" w:cs="Arial"/>
          <w:b/>
          <w:bCs/>
        </w:rPr>
        <w:t xml:space="preserve">Attività dell’ODV </w:t>
      </w:r>
    </w:p>
    <w:p w14:paraId="6602582F" w14:textId="77777777" w:rsidR="000F1ADA" w:rsidRPr="00C35A24" w:rsidRDefault="000F1ADA" w:rsidP="000F1ADA">
      <w:pPr>
        <w:pStyle w:val="Paragrafoelenco"/>
        <w:autoSpaceDE w:val="0"/>
        <w:autoSpaceDN w:val="0"/>
        <w:adjustRightInd w:val="0"/>
        <w:spacing w:after="0" w:line="240" w:lineRule="auto"/>
        <w:jc w:val="both"/>
        <w:rPr>
          <w:rFonts w:ascii="Arial" w:hAnsi="Arial" w:cs="Arial"/>
        </w:rPr>
      </w:pPr>
    </w:p>
    <w:p w14:paraId="02FDFD70"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Premessi i generali poteri di iniziativa e controllo, l’ODV ha facoltà di prendere visione di tutti i </w:t>
      </w:r>
    </w:p>
    <w:p w14:paraId="64F0568D" w14:textId="77777777"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documenti concernenti la gestione degli acquisti. </w:t>
      </w:r>
    </w:p>
    <w:p w14:paraId="73354726" w14:textId="77777777" w:rsidR="000F1ADA" w:rsidRPr="00C35A24" w:rsidRDefault="000F1ADA" w:rsidP="000F1ADA">
      <w:pPr>
        <w:autoSpaceDE w:val="0"/>
        <w:autoSpaceDN w:val="0"/>
        <w:adjustRightInd w:val="0"/>
        <w:spacing w:after="0" w:line="240" w:lineRule="auto"/>
        <w:jc w:val="both"/>
        <w:rPr>
          <w:rFonts w:ascii="Arial" w:hAnsi="Arial" w:cs="Arial"/>
        </w:rPr>
      </w:pPr>
    </w:p>
    <w:p w14:paraId="5DF76B2C" w14:textId="2F074A83"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La </w:t>
      </w:r>
      <w:r w:rsidR="00214EC7" w:rsidRPr="00C35A24">
        <w:rPr>
          <w:rFonts w:ascii="Arial" w:hAnsi="Arial" w:cs="Arial"/>
        </w:rPr>
        <w:t>Fondazione</w:t>
      </w:r>
      <w:r w:rsidRPr="00C35A24">
        <w:rPr>
          <w:rFonts w:ascii="Arial" w:hAnsi="Arial" w:cs="Arial"/>
        </w:rPr>
        <w:t xml:space="preserve"> deve essere sempre e comunque in grado di ricostruire l’origine e l’iter seguito da ogni acquisto e la fonte del rapporto con il fornitore: l’OdV ha facoltà di verificare a campione l’adempimento di tale dovere. L’OdV ha facoltà di verificare comunque quanto previsto dalla presente procedura. </w:t>
      </w:r>
    </w:p>
    <w:p w14:paraId="4AAB9BFB" w14:textId="77777777" w:rsidR="00F61EDF" w:rsidRPr="00C35A24" w:rsidRDefault="00F61EDF" w:rsidP="000F1ADA">
      <w:pPr>
        <w:autoSpaceDE w:val="0"/>
        <w:autoSpaceDN w:val="0"/>
        <w:adjustRightInd w:val="0"/>
        <w:spacing w:after="0" w:line="240" w:lineRule="auto"/>
        <w:jc w:val="both"/>
        <w:rPr>
          <w:rFonts w:ascii="Arial" w:hAnsi="Arial" w:cs="Arial"/>
        </w:rPr>
      </w:pPr>
    </w:p>
    <w:p w14:paraId="77D76640" w14:textId="77777777" w:rsidR="000F1ADA" w:rsidRPr="00C35A24" w:rsidRDefault="000F1ADA" w:rsidP="000F1ADA">
      <w:pPr>
        <w:autoSpaceDE w:val="0"/>
        <w:autoSpaceDN w:val="0"/>
        <w:adjustRightInd w:val="0"/>
        <w:spacing w:after="0" w:line="240" w:lineRule="auto"/>
        <w:jc w:val="both"/>
        <w:rPr>
          <w:rFonts w:ascii="Arial" w:hAnsi="Arial" w:cs="Arial"/>
        </w:rPr>
      </w:pPr>
    </w:p>
    <w:p w14:paraId="1D7A9B57" w14:textId="77777777" w:rsidR="000F1ADA" w:rsidRPr="00C35A24" w:rsidRDefault="000F1ADA" w:rsidP="008728C2">
      <w:pPr>
        <w:pStyle w:val="Paragrafoelenco"/>
        <w:numPr>
          <w:ilvl w:val="0"/>
          <w:numId w:val="15"/>
        </w:numPr>
        <w:autoSpaceDE w:val="0"/>
        <w:autoSpaceDN w:val="0"/>
        <w:adjustRightInd w:val="0"/>
        <w:spacing w:after="0" w:line="240" w:lineRule="auto"/>
        <w:jc w:val="both"/>
        <w:rPr>
          <w:rFonts w:ascii="Arial" w:hAnsi="Arial" w:cs="Arial"/>
          <w:b/>
          <w:bCs/>
        </w:rPr>
      </w:pPr>
      <w:r w:rsidRPr="00C35A24">
        <w:rPr>
          <w:rFonts w:ascii="Arial" w:hAnsi="Arial" w:cs="Arial"/>
          <w:b/>
          <w:bCs/>
        </w:rPr>
        <w:t xml:space="preserve">Disposizioni Finali </w:t>
      </w:r>
    </w:p>
    <w:p w14:paraId="03A61647" w14:textId="77777777" w:rsidR="000F1ADA" w:rsidRPr="00C35A24" w:rsidRDefault="000F1ADA" w:rsidP="000F1ADA">
      <w:pPr>
        <w:pStyle w:val="Paragrafoelenco"/>
        <w:autoSpaceDE w:val="0"/>
        <w:autoSpaceDN w:val="0"/>
        <w:adjustRightInd w:val="0"/>
        <w:spacing w:after="0" w:line="240" w:lineRule="auto"/>
        <w:jc w:val="both"/>
        <w:rPr>
          <w:rFonts w:ascii="Arial" w:hAnsi="Arial" w:cs="Arial"/>
        </w:rPr>
      </w:pPr>
    </w:p>
    <w:p w14:paraId="15B141B7" w14:textId="259BEE1F" w:rsidR="000F1ADA" w:rsidRPr="00C35A24" w:rsidRDefault="000F1ADA" w:rsidP="000F1ADA">
      <w:pPr>
        <w:autoSpaceDE w:val="0"/>
        <w:autoSpaceDN w:val="0"/>
        <w:adjustRightInd w:val="0"/>
        <w:spacing w:after="0" w:line="240" w:lineRule="auto"/>
        <w:jc w:val="both"/>
        <w:rPr>
          <w:rFonts w:ascii="Arial" w:hAnsi="Arial" w:cs="Arial"/>
        </w:rPr>
      </w:pPr>
      <w:r w:rsidRPr="00C35A24">
        <w:rPr>
          <w:rFonts w:ascii="Arial" w:hAnsi="Arial" w:cs="Arial"/>
        </w:rPr>
        <w:t xml:space="preserve">Tutte le funzioni aziendali coinvolte hanno la responsabilità di osservare e far osservare il contenuto del presente protocollo. </w:t>
      </w:r>
    </w:p>
    <w:p w14:paraId="6A0AEC8F" w14:textId="77777777" w:rsidR="00FA6CA6" w:rsidRPr="00C35A24" w:rsidRDefault="00FA6CA6" w:rsidP="000F1ADA">
      <w:pPr>
        <w:autoSpaceDE w:val="0"/>
        <w:autoSpaceDN w:val="0"/>
        <w:adjustRightInd w:val="0"/>
        <w:spacing w:after="0" w:line="240" w:lineRule="auto"/>
        <w:jc w:val="both"/>
        <w:rPr>
          <w:rFonts w:ascii="Arial" w:hAnsi="Arial" w:cs="Arial"/>
        </w:rPr>
      </w:pPr>
    </w:p>
    <w:p w14:paraId="4C32CB7E" w14:textId="6DAA338F" w:rsidR="000F1ADA" w:rsidRPr="00C35A24" w:rsidRDefault="000F1ADA" w:rsidP="000F1ADA">
      <w:pPr>
        <w:pStyle w:val="Default"/>
        <w:jc w:val="both"/>
        <w:rPr>
          <w:color w:val="auto"/>
          <w:sz w:val="22"/>
          <w:szCs w:val="22"/>
        </w:rPr>
      </w:pPr>
      <w:r w:rsidRPr="00C35A24">
        <w:rPr>
          <w:color w:val="auto"/>
          <w:sz w:val="22"/>
          <w:szCs w:val="22"/>
        </w:rPr>
        <w:t>Ciascun Destinatario è tenuto a comunicare tempestivamente all’ODV, oltre a quanto espressamente previsto dalla procedura di Gestione dei Rapporti con l’ODV (Prot. 1), ogni anomalia rilevabile in relazione a quanto previsto dal presente protocollo.</w:t>
      </w:r>
    </w:p>
    <w:p w14:paraId="3588E9FD" w14:textId="60855E42" w:rsidR="00FA6CA6" w:rsidRPr="00C35A24" w:rsidRDefault="00FA6CA6" w:rsidP="000F1ADA">
      <w:pPr>
        <w:pStyle w:val="Default"/>
        <w:jc w:val="both"/>
        <w:rPr>
          <w:color w:val="auto"/>
          <w:sz w:val="22"/>
          <w:szCs w:val="22"/>
        </w:rPr>
      </w:pPr>
    </w:p>
    <w:p w14:paraId="777DF186" w14:textId="35A7A2EF" w:rsidR="00FA6CA6" w:rsidRPr="00C35A24" w:rsidRDefault="00FA6CA6" w:rsidP="000F1ADA">
      <w:pPr>
        <w:pStyle w:val="Default"/>
        <w:jc w:val="both"/>
        <w:rPr>
          <w:color w:val="auto"/>
          <w:sz w:val="22"/>
          <w:szCs w:val="22"/>
        </w:rPr>
      </w:pPr>
    </w:p>
    <w:p w14:paraId="72712BA8" w14:textId="77777777" w:rsidR="00FA6CA6" w:rsidRPr="00C35A24" w:rsidRDefault="00FA6CA6" w:rsidP="00FA6CA6">
      <w:pPr>
        <w:keepNext/>
        <w:keepLines/>
        <w:spacing w:after="40" w:line="240" w:lineRule="auto"/>
        <w:ind w:left="432" w:right="-2"/>
        <w:outlineLvl w:val="0"/>
        <w:rPr>
          <w:rFonts w:ascii="Arial" w:eastAsia="SimSun" w:hAnsi="Arial" w:cs="Arial"/>
          <w:sz w:val="36"/>
          <w:szCs w:val="36"/>
          <w:lang w:eastAsia="it-IT"/>
        </w:rPr>
      </w:pPr>
      <w:r w:rsidRPr="00C35A24">
        <w:rPr>
          <w:rFonts w:ascii="Arial" w:eastAsia="SimSun" w:hAnsi="Arial" w:cs="Arial"/>
          <w:sz w:val="36"/>
          <w:szCs w:val="36"/>
          <w:lang w:eastAsia="it-IT"/>
        </w:rPr>
        <w:t>Stato delle revisioni</w:t>
      </w: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C35A24" w:rsidRPr="00C35A24" w14:paraId="1DA97DA7" w14:textId="77777777" w:rsidTr="001F2FF2">
        <w:trPr>
          <w:cantSplit/>
          <w:trHeight w:val="433"/>
        </w:trPr>
        <w:tc>
          <w:tcPr>
            <w:tcW w:w="8664" w:type="dxa"/>
            <w:tcBorders>
              <w:bottom w:val="nil"/>
            </w:tcBorders>
            <w:vAlign w:val="center"/>
          </w:tcPr>
          <w:p w14:paraId="7AA4C1BE" w14:textId="77777777" w:rsidR="00FA6CA6" w:rsidRPr="00C35A24" w:rsidRDefault="00FA6CA6" w:rsidP="00FA6CA6">
            <w:pPr>
              <w:keepNext/>
              <w:ind w:right="-2"/>
              <w:rPr>
                <w:rFonts w:ascii="Arial" w:eastAsia="Times New Roman" w:hAnsi="Arial" w:cs="Arial"/>
                <w:b/>
                <w:i/>
                <w:sz w:val="14"/>
                <w:lang w:eastAsia="it-IT"/>
              </w:rPr>
            </w:pPr>
            <w:r w:rsidRPr="00C35A24">
              <w:rPr>
                <w:rFonts w:ascii="Arial" w:eastAsia="Times New Roman" w:hAnsi="Arial" w:cs="Arial"/>
                <w:b/>
                <w:i/>
                <w:sz w:val="14"/>
                <w:lang w:eastAsia="it-IT"/>
              </w:rPr>
              <w:t>Descrizione</w:t>
            </w:r>
          </w:p>
        </w:tc>
      </w:tr>
      <w:tr w:rsidR="00C35A24" w:rsidRPr="00C35A24" w14:paraId="40F58625" w14:textId="77777777" w:rsidTr="001F2FF2">
        <w:trPr>
          <w:cantSplit/>
          <w:trHeight w:val="576"/>
        </w:trPr>
        <w:tc>
          <w:tcPr>
            <w:tcW w:w="8664" w:type="dxa"/>
            <w:vAlign w:val="center"/>
          </w:tcPr>
          <w:p w14:paraId="0A462B3D" w14:textId="02EA3E23" w:rsidR="00FA6CA6" w:rsidRPr="00C35A24" w:rsidRDefault="00C35A24" w:rsidP="00FA6CA6">
            <w:pPr>
              <w:spacing w:after="60"/>
              <w:ind w:right="-2"/>
              <w:jc w:val="both"/>
              <w:rPr>
                <w:rFonts w:ascii="Arial" w:eastAsia="Times New Roman" w:hAnsi="Arial" w:cs="Arial"/>
                <w:sz w:val="14"/>
                <w:lang w:eastAsia="it-IT"/>
              </w:rPr>
            </w:pPr>
            <w:r>
              <w:rPr>
                <w:rFonts w:ascii="Arial" w:eastAsia="Times New Roman" w:hAnsi="Arial" w:cs="Arial"/>
                <w:lang w:eastAsia="it-IT"/>
              </w:rPr>
              <w:t xml:space="preserve">REV. DEL 14/11/2023 – DEL </w:t>
            </w:r>
            <w:proofErr w:type="spellStart"/>
            <w:r>
              <w:rPr>
                <w:rFonts w:ascii="Arial" w:eastAsia="Times New Roman" w:hAnsi="Arial" w:cs="Arial"/>
                <w:lang w:eastAsia="it-IT"/>
              </w:rPr>
              <w:t>CdA</w:t>
            </w:r>
            <w:proofErr w:type="spellEnd"/>
            <w:r>
              <w:rPr>
                <w:rFonts w:ascii="Arial" w:eastAsia="Times New Roman" w:hAnsi="Arial" w:cs="Arial"/>
                <w:lang w:eastAsia="it-IT"/>
              </w:rPr>
              <w:t xml:space="preserve"> N. 2</w:t>
            </w:r>
          </w:p>
        </w:tc>
      </w:tr>
    </w:tbl>
    <w:p w14:paraId="424400DA" w14:textId="42EB1F8B" w:rsidR="00551064" w:rsidRPr="00C35A24" w:rsidRDefault="00551064" w:rsidP="00C35A24"/>
    <w:sectPr w:rsidR="00551064" w:rsidRPr="00C35A2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B045C" w14:textId="77777777" w:rsidR="00760F7B" w:rsidRDefault="00760F7B" w:rsidP="00CF4A95">
      <w:pPr>
        <w:spacing w:after="0" w:line="240" w:lineRule="auto"/>
      </w:pPr>
      <w:r>
        <w:separator/>
      </w:r>
    </w:p>
  </w:endnote>
  <w:endnote w:type="continuationSeparator" w:id="0">
    <w:p w14:paraId="6281AC26" w14:textId="77777777" w:rsidR="00760F7B" w:rsidRDefault="00760F7B" w:rsidP="00CF4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2EF0B" w14:textId="77777777" w:rsidR="00760F7B" w:rsidRDefault="00760F7B" w:rsidP="00CF4A95">
      <w:pPr>
        <w:spacing w:after="0" w:line="240" w:lineRule="auto"/>
      </w:pPr>
      <w:r>
        <w:separator/>
      </w:r>
    </w:p>
  </w:footnote>
  <w:footnote w:type="continuationSeparator" w:id="0">
    <w:p w14:paraId="586DDAFE" w14:textId="77777777" w:rsidR="00760F7B" w:rsidRDefault="00760F7B" w:rsidP="00CF4A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37D81D"/>
    <w:multiLevelType w:val="hybridMultilevel"/>
    <w:tmpl w:val="6C7C16F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535FF7"/>
    <w:multiLevelType w:val="hybridMultilevel"/>
    <w:tmpl w:val="351E9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2762E7"/>
    <w:multiLevelType w:val="hybridMultilevel"/>
    <w:tmpl w:val="EBB8A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4924A5"/>
    <w:multiLevelType w:val="hybridMultilevel"/>
    <w:tmpl w:val="FF8E70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DB0993"/>
    <w:multiLevelType w:val="hybridMultilevel"/>
    <w:tmpl w:val="03040F42"/>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1F7DF6"/>
    <w:multiLevelType w:val="hybridMultilevel"/>
    <w:tmpl w:val="4A94A528"/>
    <w:lvl w:ilvl="0" w:tplc="06846F38">
      <w:start w:val="2"/>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91E2191"/>
    <w:multiLevelType w:val="hybridMultilevel"/>
    <w:tmpl w:val="FBE8BA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BB3519"/>
    <w:multiLevelType w:val="hybridMultilevel"/>
    <w:tmpl w:val="D83CF9C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91FCF"/>
    <w:multiLevelType w:val="hybridMultilevel"/>
    <w:tmpl w:val="E7925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1236D7B"/>
    <w:multiLevelType w:val="hybridMultilevel"/>
    <w:tmpl w:val="AC7A40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15C155E"/>
    <w:multiLevelType w:val="hybridMultilevel"/>
    <w:tmpl w:val="9424AA8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8D427EA"/>
    <w:multiLevelType w:val="hybridMultilevel"/>
    <w:tmpl w:val="E6DC02B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7C2F01"/>
    <w:multiLevelType w:val="hybridMultilevel"/>
    <w:tmpl w:val="00FAB33E"/>
    <w:lvl w:ilvl="0" w:tplc="0410000D">
      <w:start w:val="1"/>
      <w:numFmt w:val="bullet"/>
      <w:lvlText w:val=""/>
      <w:lvlJc w:val="left"/>
      <w:pPr>
        <w:ind w:left="720" w:hanging="360"/>
      </w:pPr>
      <w:rPr>
        <w:rFonts w:ascii="Wingdings" w:hAnsi="Wingdings" w:hint="default"/>
      </w:rPr>
    </w:lvl>
    <w:lvl w:ilvl="1" w:tplc="030C2386">
      <w:start w:val="1"/>
      <w:numFmt w:val="bullet"/>
      <w:lvlText w:val=""/>
      <w:lvlJc w:val="left"/>
      <w:pPr>
        <w:ind w:left="1440" w:hanging="360"/>
      </w:pPr>
      <w:rPr>
        <w:rFonts w:ascii="Wingdings" w:hAnsi="Wingdings" w:hint="default"/>
        <w:color w:val="000000" w:themeColor="text1"/>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A8A2B4D"/>
    <w:multiLevelType w:val="hybridMultilevel"/>
    <w:tmpl w:val="3E580208"/>
    <w:lvl w:ilvl="0" w:tplc="06846F38">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9469BB"/>
    <w:multiLevelType w:val="hybridMultilevel"/>
    <w:tmpl w:val="DA4A095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5AD3147"/>
    <w:multiLevelType w:val="hybridMultilevel"/>
    <w:tmpl w:val="374CDAC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6E17F40"/>
    <w:multiLevelType w:val="hybridMultilevel"/>
    <w:tmpl w:val="923C11C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F926295"/>
    <w:multiLevelType w:val="hybridMultilevel"/>
    <w:tmpl w:val="CE38EFAC"/>
    <w:lvl w:ilvl="0" w:tplc="B4328A6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2063370">
    <w:abstractNumId w:val="3"/>
  </w:num>
  <w:num w:numId="2" w16cid:durableId="1284190556">
    <w:abstractNumId w:val="13"/>
  </w:num>
  <w:num w:numId="3" w16cid:durableId="1449854517">
    <w:abstractNumId w:val="15"/>
  </w:num>
  <w:num w:numId="4" w16cid:durableId="1045835982">
    <w:abstractNumId w:val="12"/>
  </w:num>
  <w:num w:numId="5" w16cid:durableId="1223100234">
    <w:abstractNumId w:val="9"/>
  </w:num>
  <w:num w:numId="6" w16cid:durableId="1645087751">
    <w:abstractNumId w:val="0"/>
  </w:num>
  <w:num w:numId="7" w16cid:durableId="1450929561">
    <w:abstractNumId w:val="16"/>
  </w:num>
  <w:num w:numId="8" w16cid:durableId="1406027085">
    <w:abstractNumId w:val="5"/>
  </w:num>
  <w:num w:numId="9" w16cid:durableId="1900163304">
    <w:abstractNumId w:val="8"/>
  </w:num>
  <w:num w:numId="10" w16cid:durableId="389811467">
    <w:abstractNumId w:val="17"/>
  </w:num>
  <w:num w:numId="11" w16cid:durableId="343290894">
    <w:abstractNumId w:val="14"/>
  </w:num>
  <w:num w:numId="12" w16cid:durableId="154422055">
    <w:abstractNumId w:val="11"/>
  </w:num>
  <w:num w:numId="13" w16cid:durableId="2132938685">
    <w:abstractNumId w:val="7"/>
  </w:num>
  <w:num w:numId="14" w16cid:durableId="154078091">
    <w:abstractNumId w:val="10"/>
  </w:num>
  <w:num w:numId="15" w16cid:durableId="259223570">
    <w:abstractNumId w:val="4"/>
  </w:num>
  <w:num w:numId="16" w16cid:durableId="1698190567">
    <w:abstractNumId w:val="1"/>
  </w:num>
  <w:num w:numId="17" w16cid:durableId="390005019">
    <w:abstractNumId w:val="2"/>
  </w:num>
  <w:num w:numId="18" w16cid:durableId="10345773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ADA"/>
    <w:rsid w:val="00005F24"/>
    <w:rsid w:val="0006071C"/>
    <w:rsid w:val="000744CA"/>
    <w:rsid w:val="000C5C36"/>
    <w:rsid w:val="000D5A2C"/>
    <w:rsid w:val="000E3F8E"/>
    <w:rsid w:val="000F1ADA"/>
    <w:rsid w:val="00175F94"/>
    <w:rsid w:val="001A3143"/>
    <w:rsid w:val="001C2527"/>
    <w:rsid w:val="00212C63"/>
    <w:rsid w:val="00214EC7"/>
    <w:rsid w:val="00227E34"/>
    <w:rsid w:val="00234F98"/>
    <w:rsid w:val="002A78B7"/>
    <w:rsid w:val="002C4658"/>
    <w:rsid w:val="002C68F5"/>
    <w:rsid w:val="002E6985"/>
    <w:rsid w:val="002F7EED"/>
    <w:rsid w:val="003155DF"/>
    <w:rsid w:val="003423D0"/>
    <w:rsid w:val="003911F5"/>
    <w:rsid w:val="003B355D"/>
    <w:rsid w:val="003C4C1E"/>
    <w:rsid w:val="0046320F"/>
    <w:rsid w:val="004F395C"/>
    <w:rsid w:val="005010F1"/>
    <w:rsid w:val="00551064"/>
    <w:rsid w:val="0056504F"/>
    <w:rsid w:val="00571EBF"/>
    <w:rsid w:val="005B1ECC"/>
    <w:rsid w:val="005B4A58"/>
    <w:rsid w:val="005D6664"/>
    <w:rsid w:val="005E0BD3"/>
    <w:rsid w:val="00620AB0"/>
    <w:rsid w:val="006320A0"/>
    <w:rsid w:val="00670EF7"/>
    <w:rsid w:val="00673DA6"/>
    <w:rsid w:val="00686C4E"/>
    <w:rsid w:val="0068717B"/>
    <w:rsid w:val="007152EF"/>
    <w:rsid w:val="00760F7B"/>
    <w:rsid w:val="00782E9E"/>
    <w:rsid w:val="00786DF1"/>
    <w:rsid w:val="007B18F4"/>
    <w:rsid w:val="00830BA3"/>
    <w:rsid w:val="00855759"/>
    <w:rsid w:val="008570C7"/>
    <w:rsid w:val="008728C2"/>
    <w:rsid w:val="008A2A8B"/>
    <w:rsid w:val="008A7B28"/>
    <w:rsid w:val="00914FE6"/>
    <w:rsid w:val="009A4F2E"/>
    <w:rsid w:val="009B7D79"/>
    <w:rsid w:val="009F1610"/>
    <w:rsid w:val="00A22963"/>
    <w:rsid w:val="00A524D8"/>
    <w:rsid w:val="00AB5973"/>
    <w:rsid w:val="00AC2352"/>
    <w:rsid w:val="00AC6A6E"/>
    <w:rsid w:val="00B729D9"/>
    <w:rsid w:val="00C35A24"/>
    <w:rsid w:val="00CE29F6"/>
    <w:rsid w:val="00CF124E"/>
    <w:rsid w:val="00CF322A"/>
    <w:rsid w:val="00CF4A95"/>
    <w:rsid w:val="00D07764"/>
    <w:rsid w:val="00D555A8"/>
    <w:rsid w:val="00D86569"/>
    <w:rsid w:val="00DC38E5"/>
    <w:rsid w:val="00E035DB"/>
    <w:rsid w:val="00E078C9"/>
    <w:rsid w:val="00E64BDD"/>
    <w:rsid w:val="00E720F2"/>
    <w:rsid w:val="00EE7F8C"/>
    <w:rsid w:val="00EF6342"/>
    <w:rsid w:val="00F306E3"/>
    <w:rsid w:val="00F61EDF"/>
    <w:rsid w:val="00F85BFA"/>
    <w:rsid w:val="00FA6CA6"/>
    <w:rsid w:val="00FF06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D0A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F1ADA"/>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0F1ADA"/>
    <w:pPr>
      <w:ind w:left="720"/>
      <w:contextualSpacing/>
    </w:pPr>
  </w:style>
  <w:style w:type="paragraph" w:styleId="Intestazione">
    <w:name w:val="header"/>
    <w:basedOn w:val="Normale"/>
    <w:link w:val="IntestazioneCarattere"/>
    <w:uiPriority w:val="99"/>
    <w:unhideWhenUsed/>
    <w:rsid w:val="00CF4A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A95"/>
  </w:style>
  <w:style w:type="paragraph" w:styleId="Pidipagina">
    <w:name w:val="footer"/>
    <w:basedOn w:val="Normale"/>
    <w:link w:val="PidipaginaCarattere"/>
    <w:uiPriority w:val="99"/>
    <w:unhideWhenUsed/>
    <w:rsid w:val="00CF4A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4A95"/>
  </w:style>
  <w:style w:type="character" w:styleId="Rimandocommento">
    <w:name w:val="annotation reference"/>
    <w:basedOn w:val="Carpredefinitoparagrafo"/>
    <w:uiPriority w:val="99"/>
    <w:semiHidden/>
    <w:unhideWhenUsed/>
    <w:rsid w:val="008A7B28"/>
    <w:rPr>
      <w:sz w:val="16"/>
      <w:szCs w:val="16"/>
    </w:rPr>
  </w:style>
  <w:style w:type="paragraph" w:styleId="Testocommento">
    <w:name w:val="annotation text"/>
    <w:basedOn w:val="Normale"/>
    <w:link w:val="TestocommentoCarattere"/>
    <w:uiPriority w:val="99"/>
    <w:semiHidden/>
    <w:unhideWhenUsed/>
    <w:rsid w:val="008A7B2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A7B28"/>
    <w:rPr>
      <w:sz w:val="20"/>
      <w:szCs w:val="20"/>
    </w:rPr>
  </w:style>
  <w:style w:type="paragraph" w:styleId="Soggettocommento">
    <w:name w:val="annotation subject"/>
    <w:basedOn w:val="Testocommento"/>
    <w:next w:val="Testocommento"/>
    <w:link w:val="SoggettocommentoCarattere"/>
    <w:uiPriority w:val="99"/>
    <w:semiHidden/>
    <w:unhideWhenUsed/>
    <w:rsid w:val="008A7B28"/>
    <w:rPr>
      <w:b/>
      <w:bCs/>
    </w:rPr>
  </w:style>
  <w:style w:type="character" w:customStyle="1" w:styleId="SoggettocommentoCarattere">
    <w:name w:val="Soggetto commento Carattere"/>
    <w:basedOn w:val="TestocommentoCarattere"/>
    <w:link w:val="Soggettocommento"/>
    <w:uiPriority w:val="99"/>
    <w:semiHidden/>
    <w:rsid w:val="008A7B28"/>
    <w:rPr>
      <w:b/>
      <w:bCs/>
      <w:sz w:val="20"/>
      <w:szCs w:val="20"/>
    </w:rPr>
  </w:style>
  <w:style w:type="paragraph" w:styleId="Testofumetto">
    <w:name w:val="Balloon Text"/>
    <w:basedOn w:val="Normale"/>
    <w:link w:val="TestofumettoCarattere"/>
    <w:uiPriority w:val="99"/>
    <w:semiHidden/>
    <w:unhideWhenUsed/>
    <w:rsid w:val="008A7B2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7B28"/>
    <w:rPr>
      <w:rFonts w:ascii="Segoe UI" w:hAnsi="Segoe UI" w:cs="Segoe UI"/>
      <w:sz w:val="18"/>
      <w:szCs w:val="18"/>
    </w:rPr>
  </w:style>
  <w:style w:type="paragraph" w:styleId="NormaleWeb">
    <w:name w:val="Normal (Web)"/>
    <w:basedOn w:val="Normale"/>
    <w:uiPriority w:val="99"/>
    <w:unhideWhenUsed/>
    <w:rsid w:val="00782E9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70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residenzacanevaro.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74EB3-F9BF-4DFE-A7B0-0813F7423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1405</Words>
  <Characters>8009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2024-01-16T11:27:00Z</dcterms:created>
  <dcterms:modified xsi:type="dcterms:W3CDTF">2024-01-16T11:29:00Z</dcterms:modified>
</cp:coreProperties>
</file>