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369A1" w14:textId="77777777" w:rsidR="0098714B" w:rsidRPr="0096480A" w:rsidRDefault="0098714B" w:rsidP="00705BF2">
      <w:pPr>
        <w:pStyle w:val="Default"/>
        <w:rPr>
          <w:color w:val="auto"/>
          <w:sz w:val="40"/>
          <w:szCs w:val="40"/>
        </w:rPr>
      </w:pPr>
    </w:p>
    <w:p w14:paraId="6A782372" w14:textId="77777777" w:rsidR="002143CA" w:rsidRPr="0096480A" w:rsidRDefault="002143CA" w:rsidP="002143CA">
      <w:pPr>
        <w:suppressAutoHyphens/>
        <w:autoSpaceDN w:val="0"/>
        <w:spacing w:after="120" w:line="240" w:lineRule="auto"/>
        <w:ind w:left="2832"/>
        <w:jc w:val="center"/>
        <w:textAlignment w:val="baseline"/>
        <w:rPr>
          <w:rFonts w:ascii="Calibri" w:eastAsia="Calibri" w:hAnsi="Calibri" w:cs="Times New Roman"/>
        </w:rPr>
      </w:pPr>
      <w:r w:rsidRPr="0096480A">
        <w:rPr>
          <w:rFonts w:ascii="Calibri" w:eastAsia="Calibri" w:hAnsi="Calibri" w:cs="Times New Roman"/>
          <w:b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1" locked="0" layoutInCell="1" allowOverlap="1" wp14:anchorId="087C2A88" wp14:editId="1E786353">
            <wp:simplePos x="0" y="0"/>
            <wp:positionH relativeFrom="margin">
              <wp:posOffset>-329568</wp:posOffset>
            </wp:positionH>
            <wp:positionV relativeFrom="paragraph">
              <wp:posOffset>7616</wp:posOffset>
            </wp:positionV>
            <wp:extent cx="1638303" cy="971550"/>
            <wp:effectExtent l="0" t="0" r="0" b="0"/>
            <wp:wrapNone/>
            <wp:docPr id="1" name="Immagine 3" descr="acqua ok2o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8303" cy="9715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96480A">
        <w:rPr>
          <w:rFonts w:ascii="Tahoma" w:eastAsia="Calibri" w:hAnsi="Tahoma" w:cs="Tahoma"/>
          <w:b/>
          <w:sz w:val="24"/>
          <w:szCs w:val="24"/>
        </w:rPr>
        <w:t>Residenza Conte Canevaro</w:t>
      </w:r>
    </w:p>
    <w:p w14:paraId="1DF4C414" w14:textId="77777777" w:rsidR="002143CA" w:rsidRPr="0096480A" w:rsidRDefault="002143CA" w:rsidP="002143CA">
      <w:pPr>
        <w:suppressAutoHyphens/>
        <w:autoSpaceDN w:val="0"/>
        <w:spacing w:after="120" w:line="240" w:lineRule="auto"/>
        <w:ind w:left="2832"/>
        <w:jc w:val="center"/>
        <w:textAlignment w:val="baseline"/>
        <w:rPr>
          <w:rFonts w:ascii="Tahoma" w:eastAsia="Calibri" w:hAnsi="Tahoma" w:cs="Tahoma"/>
          <w:sz w:val="16"/>
          <w:szCs w:val="16"/>
        </w:rPr>
      </w:pPr>
      <w:r w:rsidRPr="0096480A">
        <w:rPr>
          <w:rFonts w:ascii="Tahoma" w:eastAsia="Calibri" w:hAnsi="Tahoma" w:cs="Tahoma"/>
          <w:sz w:val="16"/>
          <w:szCs w:val="16"/>
        </w:rPr>
        <w:t>Via Antica Romana 27</w:t>
      </w:r>
    </w:p>
    <w:p w14:paraId="5212E9D0" w14:textId="77777777" w:rsidR="002143CA" w:rsidRPr="0096480A" w:rsidRDefault="002143CA" w:rsidP="002143CA">
      <w:pPr>
        <w:suppressAutoHyphens/>
        <w:autoSpaceDN w:val="0"/>
        <w:spacing w:after="120" w:line="240" w:lineRule="auto"/>
        <w:ind w:left="2832"/>
        <w:jc w:val="center"/>
        <w:textAlignment w:val="baseline"/>
        <w:rPr>
          <w:rFonts w:ascii="Tahoma" w:eastAsia="Calibri" w:hAnsi="Tahoma" w:cs="Tahoma"/>
          <w:sz w:val="16"/>
          <w:szCs w:val="16"/>
        </w:rPr>
      </w:pPr>
      <w:r w:rsidRPr="0096480A">
        <w:rPr>
          <w:rFonts w:ascii="Tahoma" w:eastAsia="Calibri" w:hAnsi="Tahoma" w:cs="Tahoma"/>
          <w:sz w:val="16"/>
          <w:szCs w:val="16"/>
        </w:rPr>
        <w:t>16035 ZOAGLI</w:t>
      </w:r>
    </w:p>
    <w:p w14:paraId="3AA0B365" w14:textId="77777777" w:rsidR="002143CA" w:rsidRPr="0096480A" w:rsidRDefault="002143CA" w:rsidP="002143CA">
      <w:pPr>
        <w:suppressAutoHyphens/>
        <w:autoSpaceDN w:val="0"/>
        <w:spacing w:after="120" w:line="240" w:lineRule="auto"/>
        <w:ind w:left="2832"/>
        <w:jc w:val="center"/>
        <w:textAlignment w:val="baseline"/>
        <w:rPr>
          <w:rFonts w:ascii="Tahoma" w:eastAsia="Calibri" w:hAnsi="Tahoma" w:cs="Tahoma"/>
          <w:sz w:val="16"/>
          <w:szCs w:val="16"/>
        </w:rPr>
      </w:pPr>
      <w:r w:rsidRPr="0096480A">
        <w:rPr>
          <w:rFonts w:ascii="Tahoma" w:eastAsia="Calibri" w:hAnsi="Tahoma" w:cs="Tahoma"/>
          <w:sz w:val="16"/>
          <w:szCs w:val="16"/>
        </w:rPr>
        <w:t>Tel. 0185259049 fax 0185250034</w:t>
      </w:r>
    </w:p>
    <w:p w14:paraId="420EF392" w14:textId="77777777" w:rsidR="002143CA" w:rsidRPr="0096480A" w:rsidRDefault="002143CA" w:rsidP="002143CA">
      <w:pPr>
        <w:suppressAutoHyphens/>
        <w:autoSpaceDN w:val="0"/>
        <w:spacing w:after="120" w:line="240" w:lineRule="auto"/>
        <w:ind w:left="2832"/>
        <w:jc w:val="center"/>
        <w:textAlignment w:val="baseline"/>
        <w:rPr>
          <w:rFonts w:ascii="Tahoma" w:eastAsia="Calibri" w:hAnsi="Tahoma" w:cs="Tahoma"/>
          <w:sz w:val="16"/>
          <w:szCs w:val="16"/>
        </w:rPr>
      </w:pPr>
      <w:r w:rsidRPr="0096480A">
        <w:rPr>
          <w:rFonts w:ascii="Tahoma" w:eastAsia="Calibri" w:hAnsi="Tahoma" w:cs="Tahoma"/>
          <w:sz w:val="16"/>
          <w:szCs w:val="16"/>
        </w:rPr>
        <w:t>CF. 83003590102</w:t>
      </w:r>
    </w:p>
    <w:p w14:paraId="52A305A0" w14:textId="77777777" w:rsidR="002143CA" w:rsidRPr="0096480A" w:rsidRDefault="002143CA" w:rsidP="002143CA">
      <w:pPr>
        <w:suppressAutoHyphens/>
        <w:autoSpaceDN w:val="0"/>
        <w:spacing w:after="120" w:line="240" w:lineRule="auto"/>
        <w:ind w:left="2832"/>
        <w:jc w:val="center"/>
        <w:textAlignment w:val="baseline"/>
        <w:rPr>
          <w:rFonts w:ascii="Calibri" w:eastAsia="Calibri" w:hAnsi="Calibri" w:cs="Times New Roman"/>
        </w:rPr>
      </w:pPr>
      <w:r w:rsidRPr="0096480A">
        <w:rPr>
          <w:rFonts w:ascii="Tahoma" w:eastAsia="Calibri" w:hAnsi="Tahoma" w:cs="Tahoma"/>
          <w:sz w:val="16"/>
          <w:szCs w:val="16"/>
        </w:rPr>
        <w:t xml:space="preserve">e-mail </w:t>
      </w:r>
      <w:hyperlink r:id="rId8" w:history="1">
        <w:r w:rsidRPr="0096480A">
          <w:rPr>
            <w:rFonts w:ascii="Tahoma" w:eastAsia="Calibri" w:hAnsi="Tahoma" w:cs="Tahoma"/>
            <w:sz w:val="16"/>
            <w:szCs w:val="16"/>
            <w:u w:val="single"/>
          </w:rPr>
          <w:t>info@residenzacanevaro.com</w:t>
        </w:r>
      </w:hyperlink>
    </w:p>
    <w:p w14:paraId="531B9FF1" w14:textId="77777777" w:rsidR="0098714B" w:rsidRPr="0096480A" w:rsidRDefault="0098714B" w:rsidP="003B5D0E">
      <w:pPr>
        <w:pStyle w:val="Default"/>
        <w:jc w:val="center"/>
        <w:rPr>
          <w:color w:val="auto"/>
          <w:sz w:val="40"/>
          <w:szCs w:val="40"/>
        </w:rPr>
      </w:pPr>
    </w:p>
    <w:p w14:paraId="65D3D211" w14:textId="77777777" w:rsidR="002143CA" w:rsidRPr="0096480A" w:rsidRDefault="002143CA" w:rsidP="002143CA">
      <w:pPr>
        <w:pStyle w:val="Default"/>
        <w:rPr>
          <w:color w:val="auto"/>
          <w:sz w:val="40"/>
          <w:szCs w:val="40"/>
        </w:rPr>
      </w:pPr>
    </w:p>
    <w:p w14:paraId="0A2EB723" w14:textId="77777777" w:rsidR="003B5D0E" w:rsidRPr="0096480A" w:rsidRDefault="003B5D0E" w:rsidP="003B5D0E">
      <w:pPr>
        <w:pStyle w:val="Default"/>
        <w:jc w:val="center"/>
        <w:rPr>
          <w:color w:val="auto"/>
          <w:sz w:val="40"/>
          <w:szCs w:val="40"/>
        </w:rPr>
      </w:pPr>
      <w:r w:rsidRPr="0096480A">
        <w:rPr>
          <w:color w:val="auto"/>
          <w:sz w:val="40"/>
          <w:szCs w:val="40"/>
        </w:rPr>
        <w:t>PROTOCOLLO 3:</w:t>
      </w:r>
    </w:p>
    <w:p w14:paraId="3D346ED7" w14:textId="77777777" w:rsidR="003B5D0E" w:rsidRPr="0096480A" w:rsidRDefault="003B5D0E" w:rsidP="003B5D0E">
      <w:pPr>
        <w:pStyle w:val="Default"/>
        <w:jc w:val="center"/>
        <w:rPr>
          <w:color w:val="auto"/>
          <w:sz w:val="40"/>
          <w:szCs w:val="40"/>
        </w:rPr>
      </w:pPr>
      <w:r w:rsidRPr="0096480A">
        <w:rPr>
          <w:color w:val="auto"/>
          <w:sz w:val="40"/>
          <w:szCs w:val="40"/>
        </w:rPr>
        <w:t>GESTIONE RAPPORTI CONSULENZIALI</w:t>
      </w:r>
    </w:p>
    <w:p w14:paraId="1F8CFFA1" w14:textId="77777777" w:rsidR="003B5D0E" w:rsidRPr="0096480A" w:rsidRDefault="003B5D0E" w:rsidP="003B5D0E">
      <w:pPr>
        <w:pStyle w:val="Default"/>
        <w:rPr>
          <w:color w:val="auto"/>
          <w:sz w:val="28"/>
          <w:szCs w:val="28"/>
        </w:rPr>
      </w:pPr>
    </w:p>
    <w:p w14:paraId="7F378EF0" w14:textId="77777777" w:rsidR="003B5D0E" w:rsidRPr="0096480A" w:rsidRDefault="003B5D0E" w:rsidP="003B5D0E">
      <w:pPr>
        <w:pStyle w:val="Default"/>
        <w:rPr>
          <w:color w:val="auto"/>
          <w:sz w:val="20"/>
          <w:szCs w:val="20"/>
        </w:rPr>
      </w:pPr>
      <w:r w:rsidRPr="0096480A">
        <w:rPr>
          <w:color w:val="auto"/>
          <w:sz w:val="20"/>
          <w:szCs w:val="20"/>
        </w:rPr>
        <w:t xml:space="preserve">INDICE: </w:t>
      </w:r>
    </w:p>
    <w:p w14:paraId="11738A05" w14:textId="77777777" w:rsidR="003B5D0E" w:rsidRPr="0096480A" w:rsidRDefault="003B5D0E" w:rsidP="003B5D0E">
      <w:pPr>
        <w:pStyle w:val="Default"/>
        <w:rPr>
          <w:color w:val="auto"/>
          <w:sz w:val="20"/>
          <w:szCs w:val="20"/>
        </w:rPr>
      </w:pPr>
    </w:p>
    <w:p w14:paraId="1882ACF9" w14:textId="77777777" w:rsidR="003B5D0E" w:rsidRPr="0096480A" w:rsidRDefault="003B5D0E" w:rsidP="003B5D0E">
      <w:pPr>
        <w:pStyle w:val="Default"/>
        <w:rPr>
          <w:color w:val="auto"/>
          <w:sz w:val="20"/>
          <w:szCs w:val="20"/>
        </w:rPr>
      </w:pPr>
      <w:r w:rsidRPr="0096480A">
        <w:rPr>
          <w:color w:val="auto"/>
          <w:sz w:val="20"/>
          <w:szCs w:val="20"/>
        </w:rPr>
        <w:t xml:space="preserve">1. OBIETTIVI </w:t>
      </w:r>
    </w:p>
    <w:p w14:paraId="6832870D" w14:textId="77777777" w:rsidR="003B5D0E" w:rsidRPr="0096480A" w:rsidRDefault="003B5D0E" w:rsidP="003B5D0E">
      <w:pPr>
        <w:pStyle w:val="Default"/>
        <w:rPr>
          <w:color w:val="auto"/>
          <w:sz w:val="20"/>
          <w:szCs w:val="20"/>
        </w:rPr>
      </w:pPr>
      <w:r w:rsidRPr="0096480A">
        <w:rPr>
          <w:color w:val="auto"/>
          <w:sz w:val="20"/>
          <w:szCs w:val="20"/>
        </w:rPr>
        <w:t xml:space="preserve">2. DESTINATARI </w:t>
      </w:r>
    </w:p>
    <w:p w14:paraId="7573D935" w14:textId="77777777" w:rsidR="003B5D0E" w:rsidRPr="0096480A" w:rsidRDefault="003B5D0E" w:rsidP="003B5D0E">
      <w:pPr>
        <w:pStyle w:val="Default"/>
        <w:rPr>
          <w:color w:val="auto"/>
          <w:sz w:val="20"/>
          <w:szCs w:val="20"/>
        </w:rPr>
      </w:pPr>
      <w:r w:rsidRPr="0096480A">
        <w:rPr>
          <w:color w:val="auto"/>
          <w:sz w:val="20"/>
          <w:szCs w:val="20"/>
        </w:rPr>
        <w:t xml:space="preserve">3. PROCESSI AZIENDALI COINVOLTI </w:t>
      </w:r>
    </w:p>
    <w:p w14:paraId="7860BE23" w14:textId="77777777" w:rsidR="003B5D0E" w:rsidRPr="0096480A" w:rsidRDefault="003B5D0E" w:rsidP="003B5D0E">
      <w:pPr>
        <w:pStyle w:val="Default"/>
        <w:rPr>
          <w:color w:val="auto"/>
          <w:sz w:val="20"/>
          <w:szCs w:val="20"/>
        </w:rPr>
      </w:pPr>
      <w:r w:rsidRPr="0096480A">
        <w:rPr>
          <w:color w:val="auto"/>
          <w:sz w:val="20"/>
          <w:szCs w:val="20"/>
        </w:rPr>
        <w:t xml:space="preserve">4. DOCUMENTAZIONE INTEGRATIVA </w:t>
      </w:r>
    </w:p>
    <w:p w14:paraId="326B3688" w14:textId="77777777" w:rsidR="003B5D0E" w:rsidRPr="0096480A" w:rsidRDefault="003B5D0E" w:rsidP="003B5D0E">
      <w:pPr>
        <w:pStyle w:val="Default"/>
        <w:rPr>
          <w:color w:val="auto"/>
          <w:sz w:val="20"/>
          <w:szCs w:val="20"/>
        </w:rPr>
      </w:pPr>
      <w:r w:rsidRPr="0096480A">
        <w:rPr>
          <w:color w:val="auto"/>
          <w:sz w:val="20"/>
          <w:szCs w:val="20"/>
        </w:rPr>
        <w:t xml:space="preserve">5. PROCEDURE DA APPLICARE </w:t>
      </w:r>
    </w:p>
    <w:p w14:paraId="5617D5F3" w14:textId="77777777" w:rsidR="003B5D0E" w:rsidRPr="0096480A" w:rsidRDefault="003B5D0E" w:rsidP="003B5D0E">
      <w:pPr>
        <w:pStyle w:val="Default"/>
        <w:rPr>
          <w:color w:val="auto"/>
          <w:sz w:val="20"/>
          <w:szCs w:val="20"/>
        </w:rPr>
      </w:pPr>
      <w:r w:rsidRPr="0096480A">
        <w:rPr>
          <w:color w:val="auto"/>
          <w:sz w:val="20"/>
          <w:szCs w:val="20"/>
        </w:rPr>
        <w:t xml:space="preserve">6. ATTIVITÀ DELL’ODV </w:t>
      </w:r>
    </w:p>
    <w:p w14:paraId="6B779D3F" w14:textId="77777777" w:rsidR="003B5D0E" w:rsidRPr="0096480A" w:rsidRDefault="003B5D0E" w:rsidP="003B5D0E">
      <w:pPr>
        <w:pStyle w:val="Default"/>
        <w:rPr>
          <w:color w:val="auto"/>
          <w:sz w:val="20"/>
          <w:szCs w:val="20"/>
        </w:rPr>
      </w:pPr>
      <w:r w:rsidRPr="0096480A">
        <w:rPr>
          <w:color w:val="auto"/>
          <w:sz w:val="20"/>
          <w:szCs w:val="20"/>
        </w:rPr>
        <w:t xml:space="preserve">7. DISPOSIZIONI FINALI </w:t>
      </w:r>
    </w:p>
    <w:p w14:paraId="66D86F26" w14:textId="77777777" w:rsidR="003B5D0E" w:rsidRPr="0096480A" w:rsidRDefault="003B5D0E" w:rsidP="003B5D0E">
      <w:pPr>
        <w:pStyle w:val="Default"/>
        <w:rPr>
          <w:color w:val="auto"/>
          <w:sz w:val="19"/>
          <w:szCs w:val="19"/>
        </w:rPr>
      </w:pPr>
    </w:p>
    <w:p w14:paraId="182CE8FD" w14:textId="77777777" w:rsidR="003B5D0E" w:rsidRPr="0096480A" w:rsidRDefault="003B5D0E" w:rsidP="003B5D0E">
      <w:pPr>
        <w:pStyle w:val="Default"/>
        <w:rPr>
          <w:color w:val="auto"/>
          <w:sz w:val="19"/>
          <w:szCs w:val="19"/>
        </w:rPr>
      </w:pPr>
    </w:p>
    <w:p w14:paraId="0DF2DFC5" w14:textId="77777777" w:rsidR="003B5D0E" w:rsidRPr="0096480A" w:rsidRDefault="003B5D0E" w:rsidP="003B5D0E">
      <w:pPr>
        <w:pStyle w:val="Default"/>
        <w:numPr>
          <w:ilvl w:val="0"/>
          <w:numId w:val="1"/>
        </w:numPr>
        <w:rPr>
          <w:b/>
          <w:bCs/>
          <w:color w:val="auto"/>
          <w:sz w:val="22"/>
          <w:szCs w:val="22"/>
        </w:rPr>
      </w:pPr>
      <w:r w:rsidRPr="0096480A">
        <w:rPr>
          <w:b/>
          <w:bCs/>
          <w:color w:val="auto"/>
          <w:sz w:val="22"/>
          <w:szCs w:val="22"/>
        </w:rPr>
        <w:t xml:space="preserve">Obiettivi </w:t>
      </w:r>
    </w:p>
    <w:p w14:paraId="397F4256" w14:textId="77777777" w:rsidR="003B5D0E" w:rsidRPr="0096480A" w:rsidRDefault="003B5D0E" w:rsidP="00EA3A78">
      <w:pPr>
        <w:pStyle w:val="Default"/>
        <w:ind w:left="720"/>
        <w:jc w:val="both"/>
        <w:rPr>
          <w:color w:val="auto"/>
          <w:sz w:val="22"/>
          <w:szCs w:val="22"/>
        </w:rPr>
      </w:pPr>
    </w:p>
    <w:p w14:paraId="6220B8CE" w14:textId="77777777" w:rsidR="003B5D0E" w:rsidRPr="0096480A" w:rsidRDefault="003B5D0E" w:rsidP="00EA3A78">
      <w:pPr>
        <w:pStyle w:val="Default"/>
        <w:jc w:val="both"/>
        <w:rPr>
          <w:color w:val="auto"/>
          <w:sz w:val="22"/>
          <w:szCs w:val="22"/>
        </w:rPr>
      </w:pPr>
      <w:r w:rsidRPr="0096480A">
        <w:rPr>
          <w:color w:val="auto"/>
          <w:sz w:val="22"/>
          <w:szCs w:val="22"/>
        </w:rPr>
        <w:t xml:space="preserve">Il presente protocollo ha l’obiettivo di definire ruoli e responsabilità in relazione alla Gestione dei Rapporti Consulenziali al fine di prevenire, nell’esecuzione di tale attività, la commissione degli illeciti previsti dal </w:t>
      </w:r>
      <w:proofErr w:type="spellStart"/>
      <w:r w:rsidRPr="0096480A">
        <w:rPr>
          <w:color w:val="auto"/>
          <w:sz w:val="22"/>
          <w:szCs w:val="22"/>
        </w:rPr>
        <w:t>D.Lgs.</w:t>
      </w:r>
      <w:proofErr w:type="spellEnd"/>
      <w:r w:rsidRPr="0096480A">
        <w:rPr>
          <w:color w:val="auto"/>
          <w:sz w:val="22"/>
          <w:szCs w:val="22"/>
        </w:rPr>
        <w:t xml:space="preserve"> 231/2001. </w:t>
      </w:r>
    </w:p>
    <w:p w14:paraId="1C5E8F54" w14:textId="77777777" w:rsidR="003B5D0E" w:rsidRPr="0096480A" w:rsidRDefault="003B5D0E" w:rsidP="00EA3A78">
      <w:pPr>
        <w:pStyle w:val="Default"/>
        <w:jc w:val="both"/>
        <w:rPr>
          <w:color w:val="auto"/>
          <w:sz w:val="22"/>
          <w:szCs w:val="22"/>
        </w:rPr>
      </w:pPr>
      <w:r w:rsidRPr="0096480A">
        <w:rPr>
          <w:color w:val="auto"/>
          <w:sz w:val="22"/>
          <w:szCs w:val="22"/>
        </w:rPr>
        <w:t xml:space="preserve">In particolare, il presente protocollo intende prevenire il verificarsi delle fattispecie di reato previste nei seguenti articoli del </w:t>
      </w:r>
      <w:proofErr w:type="spellStart"/>
      <w:r w:rsidRPr="0096480A">
        <w:rPr>
          <w:color w:val="auto"/>
          <w:sz w:val="22"/>
          <w:szCs w:val="22"/>
        </w:rPr>
        <w:t>D.Lgs.</w:t>
      </w:r>
      <w:proofErr w:type="spellEnd"/>
      <w:r w:rsidRPr="0096480A">
        <w:rPr>
          <w:color w:val="auto"/>
          <w:sz w:val="22"/>
          <w:szCs w:val="22"/>
        </w:rPr>
        <w:t xml:space="preserve"> 231/01 (a titolo riassuntivo, rimandandosi per l’analisi dettagliata alla parte speciale del presente MOG): </w:t>
      </w:r>
    </w:p>
    <w:p w14:paraId="72AD50D8" w14:textId="77777777" w:rsidR="003B5D0E" w:rsidRPr="0096480A" w:rsidRDefault="003B5D0E" w:rsidP="00EA3A78">
      <w:pPr>
        <w:pStyle w:val="Default"/>
        <w:jc w:val="both"/>
        <w:rPr>
          <w:color w:val="auto"/>
          <w:sz w:val="22"/>
          <w:szCs w:val="22"/>
        </w:rPr>
      </w:pPr>
    </w:p>
    <w:p w14:paraId="7E036BAC" w14:textId="77777777" w:rsidR="003B5D0E" w:rsidRPr="0096480A" w:rsidRDefault="003B5D0E" w:rsidP="00EA3A78">
      <w:pPr>
        <w:pStyle w:val="Default"/>
        <w:jc w:val="both"/>
        <w:rPr>
          <w:color w:val="auto"/>
          <w:sz w:val="22"/>
          <w:szCs w:val="22"/>
        </w:rPr>
      </w:pPr>
      <w:r w:rsidRPr="0096480A">
        <w:rPr>
          <w:color w:val="auto"/>
          <w:sz w:val="22"/>
          <w:szCs w:val="22"/>
        </w:rPr>
        <w:t xml:space="preserve">- art. 24 bis </w:t>
      </w:r>
      <w:proofErr w:type="spellStart"/>
      <w:r w:rsidRPr="0096480A">
        <w:rPr>
          <w:color w:val="auto"/>
          <w:sz w:val="22"/>
          <w:szCs w:val="22"/>
        </w:rPr>
        <w:t>D.Lgs.</w:t>
      </w:r>
      <w:proofErr w:type="spellEnd"/>
      <w:r w:rsidRPr="0096480A">
        <w:rPr>
          <w:color w:val="auto"/>
          <w:sz w:val="22"/>
          <w:szCs w:val="22"/>
        </w:rPr>
        <w:t xml:space="preserve"> 231/01 “Delitti informatici e trattamento illecito di dati”; </w:t>
      </w:r>
    </w:p>
    <w:p w14:paraId="64469367" w14:textId="77777777" w:rsidR="003B5D0E" w:rsidRPr="0096480A" w:rsidRDefault="003B5D0E" w:rsidP="00EA3A78">
      <w:pPr>
        <w:pStyle w:val="Default"/>
        <w:jc w:val="both"/>
        <w:rPr>
          <w:color w:val="auto"/>
          <w:sz w:val="22"/>
          <w:szCs w:val="22"/>
        </w:rPr>
      </w:pPr>
      <w:r w:rsidRPr="0096480A">
        <w:rPr>
          <w:color w:val="auto"/>
          <w:sz w:val="22"/>
          <w:szCs w:val="22"/>
        </w:rPr>
        <w:t xml:space="preserve">- art. 25 ter </w:t>
      </w:r>
      <w:proofErr w:type="spellStart"/>
      <w:r w:rsidRPr="0096480A">
        <w:rPr>
          <w:color w:val="auto"/>
          <w:sz w:val="22"/>
          <w:szCs w:val="22"/>
        </w:rPr>
        <w:t>D.Lgs.</w:t>
      </w:r>
      <w:proofErr w:type="spellEnd"/>
      <w:r w:rsidRPr="0096480A">
        <w:rPr>
          <w:color w:val="auto"/>
          <w:sz w:val="22"/>
          <w:szCs w:val="22"/>
        </w:rPr>
        <w:t xml:space="preserve"> 231/01: “Reati societari”; </w:t>
      </w:r>
    </w:p>
    <w:p w14:paraId="0291C23E" w14:textId="77777777" w:rsidR="003B5D0E" w:rsidRPr="0096480A" w:rsidRDefault="003B5D0E" w:rsidP="00EA3A78">
      <w:pPr>
        <w:pStyle w:val="Default"/>
        <w:jc w:val="both"/>
        <w:rPr>
          <w:color w:val="auto"/>
          <w:sz w:val="22"/>
          <w:szCs w:val="22"/>
        </w:rPr>
      </w:pPr>
      <w:r w:rsidRPr="0096480A">
        <w:rPr>
          <w:color w:val="auto"/>
          <w:sz w:val="22"/>
          <w:szCs w:val="22"/>
        </w:rPr>
        <w:t xml:space="preserve">- induzione a non rendere dichiarazioni o a rendere dichiarazioni mendaci all’autorità giudiziaria (art. 25 </w:t>
      </w:r>
      <w:proofErr w:type="spellStart"/>
      <w:r w:rsidRPr="0096480A">
        <w:rPr>
          <w:color w:val="auto"/>
          <w:sz w:val="22"/>
          <w:szCs w:val="22"/>
        </w:rPr>
        <w:t>decies</w:t>
      </w:r>
      <w:proofErr w:type="spellEnd"/>
      <w:r w:rsidRPr="0096480A">
        <w:rPr>
          <w:color w:val="auto"/>
          <w:sz w:val="22"/>
          <w:szCs w:val="22"/>
        </w:rPr>
        <w:t xml:space="preserve"> </w:t>
      </w:r>
      <w:proofErr w:type="spellStart"/>
      <w:r w:rsidRPr="0096480A">
        <w:rPr>
          <w:color w:val="auto"/>
          <w:sz w:val="22"/>
          <w:szCs w:val="22"/>
        </w:rPr>
        <w:t>D.Lgs.</w:t>
      </w:r>
      <w:proofErr w:type="spellEnd"/>
      <w:r w:rsidRPr="0096480A">
        <w:rPr>
          <w:color w:val="auto"/>
          <w:sz w:val="22"/>
          <w:szCs w:val="22"/>
        </w:rPr>
        <w:t xml:space="preserve"> 231/01). </w:t>
      </w:r>
    </w:p>
    <w:p w14:paraId="2CD5869D" w14:textId="77777777" w:rsidR="003B5D0E" w:rsidRPr="0096480A" w:rsidRDefault="003B5D0E" w:rsidP="00EA3A78">
      <w:pPr>
        <w:pStyle w:val="Default"/>
        <w:jc w:val="both"/>
        <w:rPr>
          <w:color w:val="auto"/>
          <w:sz w:val="22"/>
          <w:szCs w:val="22"/>
        </w:rPr>
      </w:pPr>
      <w:r w:rsidRPr="0096480A">
        <w:rPr>
          <w:color w:val="auto"/>
          <w:sz w:val="22"/>
          <w:szCs w:val="22"/>
        </w:rPr>
        <w:t xml:space="preserve">- art. 640 ter c.p. – frode informatica; </w:t>
      </w:r>
    </w:p>
    <w:p w14:paraId="1699F075" w14:textId="5CC1DF41" w:rsidR="003B5D0E" w:rsidRPr="0096480A" w:rsidRDefault="003B5D0E" w:rsidP="001971DA">
      <w:pPr>
        <w:pStyle w:val="NormaleWeb"/>
        <w:shd w:val="clear" w:color="auto" w:fill="FFFFFF"/>
        <w:spacing w:before="0" w:beforeAutospacing="0" w:after="0" w:afterAutospacing="0" w:line="0" w:lineRule="atLeast"/>
        <w:jc w:val="both"/>
        <w:textAlignment w:val="baseline"/>
        <w:rPr>
          <w:rFonts w:ascii="Arial" w:hAnsi="Arial" w:cs="Arial"/>
          <w:iCs/>
          <w:sz w:val="22"/>
          <w:szCs w:val="22"/>
        </w:rPr>
      </w:pPr>
      <w:r w:rsidRPr="0096480A">
        <w:rPr>
          <w:sz w:val="22"/>
          <w:szCs w:val="22"/>
        </w:rPr>
        <w:t>-</w:t>
      </w:r>
      <w:r w:rsidR="001971DA" w:rsidRPr="0096480A">
        <w:rPr>
          <w:rFonts w:ascii="Arial" w:hAnsi="Arial" w:cs="Arial"/>
          <w:sz w:val="22"/>
          <w:szCs w:val="22"/>
        </w:rPr>
        <w:t xml:space="preserve"> </w:t>
      </w:r>
      <w:bookmarkStart w:id="0" w:name="_Hlk50456291"/>
      <w:r w:rsidR="001971DA" w:rsidRPr="0096480A">
        <w:rPr>
          <w:rFonts w:ascii="Arial" w:hAnsi="Arial" w:cs="Arial"/>
          <w:iCs/>
          <w:sz w:val="22"/>
          <w:szCs w:val="22"/>
          <w:bdr w:val="none" w:sz="0" w:space="0" w:color="auto" w:frame="1"/>
        </w:rPr>
        <w:t xml:space="preserve">peculato, concussione, induzione indebita a dare o promettere </w:t>
      </w:r>
      <w:proofErr w:type="spellStart"/>
      <w:r w:rsidR="001971DA" w:rsidRPr="0096480A">
        <w:rPr>
          <w:rFonts w:ascii="Arial" w:hAnsi="Arial" w:cs="Arial"/>
          <w:iCs/>
          <w:sz w:val="22"/>
          <w:szCs w:val="22"/>
          <w:bdr w:val="none" w:sz="0" w:space="0" w:color="auto" w:frame="1"/>
        </w:rPr>
        <w:t>utilita</w:t>
      </w:r>
      <w:proofErr w:type="spellEnd"/>
      <w:r w:rsidR="001971DA" w:rsidRPr="0096480A">
        <w:rPr>
          <w:rFonts w:ascii="Arial" w:hAnsi="Arial" w:cs="Arial"/>
          <w:iCs/>
          <w:sz w:val="22"/>
          <w:szCs w:val="22"/>
          <w:bdr w:val="none" w:sz="0" w:space="0" w:color="auto" w:frame="1"/>
        </w:rPr>
        <w:t>̀, corruzione e abuso d’ufficio</w:t>
      </w:r>
      <w:bookmarkEnd w:id="0"/>
      <w:r w:rsidR="001971DA" w:rsidRPr="0096480A">
        <w:rPr>
          <w:rFonts w:ascii="Arial" w:hAnsi="Arial" w:cs="Arial"/>
          <w:iCs/>
          <w:sz w:val="22"/>
          <w:szCs w:val="22"/>
          <w:bdr w:val="none" w:sz="0" w:space="0" w:color="auto" w:frame="1"/>
        </w:rPr>
        <w:t xml:space="preserve"> </w:t>
      </w:r>
      <w:r w:rsidR="001971DA" w:rsidRPr="0096480A">
        <w:rPr>
          <w:rFonts w:ascii="Arial" w:hAnsi="Arial" w:cs="Arial"/>
          <w:sz w:val="22"/>
          <w:szCs w:val="22"/>
        </w:rPr>
        <w:t xml:space="preserve">(art. 25 d. lgs. 231/2001); </w:t>
      </w:r>
    </w:p>
    <w:p w14:paraId="4E6C0FCD" w14:textId="77777777" w:rsidR="00226C1B" w:rsidRPr="0096480A" w:rsidRDefault="00226C1B" w:rsidP="00226C1B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b/>
          <w:bCs/>
          <w:sz w:val="36"/>
          <w:szCs w:val="36"/>
          <w:lang w:eastAsia="it-IT"/>
        </w:rPr>
      </w:pPr>
      <w:r w:rsidRPr="0096480A">
        <w:t xml:space="preserve">- </w:t>
      </w:r>
      <w:r w:rsidRPr="0096480A">
        <w:rPr>
          <w:rFonts w:ascii="Arial" w:eastAsia="Times New Roman" w:hAnsi="Arial" w:cs="Arial"/>
          <w:lang w:eastAsia="it-IT"/>
        </w:rPr>
        <w:t>art. 25</w:t>
      </w:r>
      <w:r w:rsidRPr="0096480A">
        <w:rPr>
          <w:rFonts w:ascii="Arial" w:eastAsia="Times New Roman" w:hAnsi="Arial" w:cs="Arial"/>
          <w:bdr w:val="none" w:sz="0" w:space="0" w:color="auto" w:frame="1"/>
          <w:lang w:eastAsia="it-IT"/>
        </w:rPr>
        <w:t>-quinquiesdecies</w:t>
      </w:r>
      <w:r w:rsidRPr="0096480A">
        <w:rPr>
          <w:rFonts w:ascii="Arial" w:eastAsia="Times New Roman" w:hAnsi="Arial" w:cs="Arial"/>
          <w:lang w:eastAsia="it-IT"/>
        </w:rPr>
        <w:t xml:space="preserve"> “</w:t>
      </w:r>
      <w:r w:rsidRPr="0096480A">
        <w:rPr>
          <w:rFonts w:ascii="Arial" w:eastAsia="Times New Roman" w:hAnsi="Arial" w:cs="Arial"/>
          <w:bdr w:val="none" w:sz="0" w:space="0" w:color="auto" w:frame="1"/>
          <w:lang w:eastAsia="it-IT"/>
        </w:rPr>
        <w:t>reati tributari”</w:t>
      </w:r>
    </w:p>
    <w:p w14:paraId="0396E216" w14:textId="77777777" w:rsidR="00226C1B" w:rsidRPr="0096480A" w:rsidRDefault="00226C1B" w:rsidP="00EA3A78">
      <w:pPr>
        <w:pStyle w:val="Default"/>
        <w:jc w:val="both"/>
        <w:rPr>
          <w:color w:val="auto"/>
          <w:sz w:val="22"/>
          <w:szCs w:val="22"/>
        </w:rPr>
      </w:pPr>
    </w:p>
    <w:p w14:paraId="09DC64A6" w14:textId="77777777" w:rsidR="003B5D0E" w:rsidRPr="0096480A" w:rsidRDefault="003B5D0E" w:rsidP="00EA3A78">
      <w:pPr>
        <w:pStyle w:val="Default"/>
        <w:jc w:val="both"/>
        <w:rPr>
          <w:color w:val="auto"/>
          <w:sz w:val="22"/>
          <w:szCs w:val="22"/>
        </w:rPr>
      </w:pPr>
    </w:p>
    <w:p w14:paraId="670DF9B0" w14:textId="77777777" w:rsidR="003B5D0E" w:rsidRPr="0096480A" w:rsidRDefault="003B5D0E" w:rsidP="00EA3A78">
      <w:pPr>
        <w:pStyle w:val="Default"/>
        <w:jc w:val="both"/>
        <w:rPr>
          <w:color w:val="auto"/>
          <w:sz w:val="22"/>
          <w:szCs w:val="22"/>
        </w:rPr>
      </w:pPr>
    </w:p>
    <w:p w14:paraId="1E30B66C" w14:textId="77777777" w:rsidR="001213A4" w:rsidRPr="0096480A" w:rsidRDefault="003B5D0E" w:rsidP="00EA3A78">
      <w:pPr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>Il presente protocollo è altresì volto a prevenire il reato di cui all’art. 416 c.p. (associazione per delinquere), laddove finalizzato alla commissione dei reati di cui sopra.</w:t>
      </w:r>
    </w:p>
    <w:p w14:paraId="4DD30CC6" w14:textId="77777777" w:rsidR="003B5D0E" w:rsidRPr="0096480A" w:rsidRDefault="003B5D0E" w:rsidP="00EA3A78">
      <w:pPr>
        <w:jc w:val="both"/>
        <w:rPr>
          <w:rFonts w:ascii="Arial" w:hAnsi="Arial" w:cs="Arial"/>
        </w:rPr>
      </w:pPr>
    </w:p>
    <w:p w14:paraId="349DE2F8" w14:textId="77777777" w:rsidR="003B5D0E" w:rsidRPr="0096480A" w:rsidRDefault="003B5D0E" w:rsidP="0098714B">
      <w:pPr>
        <w:pStyle w:val="Default"/>
        <w:numPr>
          <w:ilvl w:val="0"/>
          <w:numId w:val="1"/>
        </w:numPr>
        <w:jc w:val="both"/>
        <w:rPr>
          <w:b/>
          <w:bCs/>
          <w:color w:val="auto"/>
          <w:sz w:val="22"/>
          <w:szCs w:val="22"/>
        </w:rPr>
      </w:pPr>
      <w:r w:rsidRPr="0096480A">
        <w:rPr>
          <w:b/>
          <w:bCs/>
          <w:color w:val="auto"/>
          <w:sz w:val="22"/>
          <w:szCs w:val="22"/>
        </w:rPr>
        <w:t xml:space="preserve">Destinatari (Aree a rischio) </w:t>
      </w:r>
    </w:p>
    <w:p w14:paraId="2819122C" w14:textId="77777777" w:rsidR="0098714B" w:rsidRPr="0096480A" w:rsidRDefault="0098714B" w:rsidP="0098714B">
      <w:pPr>
        <w:pStyle w:val="Default"/>
        <w:ind w:left="720"/>
        <w:jc w:val="both"/>
        <w:rPr>
          <w:color w:val="auto"/>
          <w:sz w:val="22"/>
          <w:szCs w:val="22"/>
        </w:rPr>
      </w:pPr>
    </w:p>
    <w:p w14:paraId="64DADFCC" w14:textId="77777777" w:rsidR="003B5D0E" w:rsidRPr="0096480A" w:rsidRDefault="003B5D0E" w:rsidP="00EA3A78">
      <w:pPr>
        <w:pStyle w:val="Default"/>
        <w:jc w:val="both"/>
        <w:rPr>
          <w:color w:val="auto"/>
          <w:sz w:val="22"/>
          <w:szCs w:val="22"/>
        </w:rPr>
      </w:pPr>
      <w:r w:rsidRPr="0096480A">
        <w:rPr>
          <w:color w:val="auto"/>
          <w:sz w:val="22"/>
          <w:szCs w:val="22"/>
        </w:rPr>
        <w:lastRenderedPageBreak/>
        <w:t xml:space="preserve">Il presente protocollo, finalizzato alla prevenzione dei reati poc’anzi menzionati, trova applicazione nei confronti di tutti coloro che, nell’esercizio dell’attività di propria competenza a favore della </w:t>
      </w:r>
      <w:r w:rsidR="00D41C9D" w:rsidRPr="0096480A">
        <w:rPr>
          <w:color w:val="auto"/>
          <w:sz w:val="22"/>
          <w:szCs w:val="22"/>
        </w:rPr>
        <w:t>Fondazione</w:t>
      </w:r>
      <w:r w:rsidRPr="0096480A">
        <w:rPr>
          <w:color w:val="auto"/>
          <w:sz w:val="22"/>
          <w:szCs w:val="22"/>
        </w:rPr>
        <w:t xml:space="preserve">, intervengono nella gestione dei Rapporti Consulenziali. </w:t>
      </w:r>
    </w:p>
    <w:p w14:paraId="3BC88FB1" w14:textId="77777777" w:rsidR="003B5D0E" w:rsidRPr="0096480A" w:rsidRDefault="003B5D0E" w:rsidP="00EA3A78">
      <w:pPr>
        <w:pStyle w:val="Default"/>
        <w:jc w:val="both"/>
        <w:rPr>
          <w:color w:val="auto"/>
          <w:sz w:val="22"/>
          <w:szCs w:val="22"/>
        </w:rPr>
      </w:pPr>
      <w:r w:rsidRPr="0096480A">
        <w:rPr>
          <w:color w:val="auto"/>
          <w:sz w:val="22"/>
          <w:szCs w:val="22"/>
        </w:rPr>
        <w:t xml:space="preserve">In particolare, i processi aziendali sensibili prevedono il coinvolgimento, secondo le rispettive competenze, dei seguenti soggetti: </w:t>
      </w:r>
    </w:p>
    <w:p w14:paraId="183D5970" w14:textId="77777777" w:rsidR="003B5D0E" w:rsidRPr="0096480A" w:rsidRDefault="003B5D0E" w:rsidP="00EA3A78">
      <w:pPr>
        <w:pStyle w:val="Default"/>
        <w:jc w:val="both"/>
        <w:rPr>
          <w:color w:val="auto"/>
          <w:sz w:val="22"/>
          <w:szCs w:val="22"/>
        </w:rPr>
      </w:pPr>
    </w:p>
    <w:p w14:paraId="049CD2E4" w14:textId="77777777" w:rsidR="003B5D0E" w:rsidRPr="0096480A" w:rsidRDefault="003B5D0E" w:rsidP="00EA3A78">
      <w:pPr>
        <w:pStyle w:val="Paragrafoelenco"/>
        <w:numPr>
          <w:ilvl w:val="1"/>
          <w:numId w:val="4"/>
        </w:numPr>
        <w:spacing w:after="0" w:line="240" w:lineRule="auto"/>
        <w:ind w:left="1434" w:right="1" w:hanging="357"/>
        <w:contextualSpacing w:val="0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>Presidente del Cda</w:t>
      </w:r>
    </w:p>
    <w:p w14:paraId="0F5326F5" w14:textId="77777777" w:rsidR="00C13C05" w:rsidRPr="0096480A" w:rsidRDefault="003C1195" w:rsidP="00EA3A78">
      <w:pPr>
        <w:pStyle w:val="Paragrafoelenco"/>
        <w:numPr>
          <w:ilvl w:val="1"/>
          <w:numId w:val="4"/>
        </w:numPr>
        <w:spacing w:after="0" w:line="240" w:lineRule="auto"/>
        <w:ind w:left="1434" w:right="1" w:hanging="357"/>
        <w:contextualSpacing w:val="0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>C</w:t>
      </w:r>
      <w:r w:rsidR="00C13C05" w:rsidRPr="0096480A">
        <w:rPr>
          <w:rFonts w:ascii="Arial" w:hAnsi="Arial" w:cs="Arial"/>
        </w:rPr>
        <w:t>da</w:t>
      </w:r>
    </w:p>
    <w:p w14:paraId="2BF6754C" w14:textId="4C230C7A" w:rsidR="000F06AB" w:rsidRPr="0096480A" w:rsidRDefault="000F06AB" w:rsidP="00EA3A78">
      <w:pPr>
        <w:pStyle w:val="Paragrafoelenco"/>
        <w:numPr>
          <w:ilvl w:val="1"/>
          <w:numId w:val="4"/>
        </w:numPr>
        <w:spacing w:after="0" w:line="240" w:lineRule="auto"/>
        <w:ind w:left="1434" w:right="1" w:hanging="357"/>
        <w:contextualSpacing w:val="0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>Consulenti</w:t>
      </w:r>
    </w:p>
    <w:p w14:paraId="040A4C57" w14:textId="77777777" w:rsidR="003B5D0E" w:rsidRPr="0096480A" w:rsidRDefault="003B5D0E" w:rsidP="00EA3A78">
      <w:pPr>
        <w:pStyle w:val="Default"/>
        <w:jc w:val="both"/>
        <w:rPr>
          <w:color w:val="auto"/>
          <w:sz w:val="22"/>
          <w:szCs w:val="22"/>
        </w:rPr>
      </w:pPr>
    </w:p>
    <w:p w14:paraId="1A1F5616" w14:textId="77777777" w:rsidR="003B5D0E" w:rsidRPr="0096480A" w:rsidRDefault="003B5D0E" w:rsidP="00EA3A78">
      <w:pPr>
        <w:pStyle w:val="Default"/>
        <w:numPr>
          <w:ilvl w:val="0"/>
          <w:numId w:val="6"/>
        </w:numPr>
        <w:jc w:val="both"/>
        <w:rPr>
          <w:b/>
          <w:bCs/>
          <w:color w:val="auto"/>
          <w:sz w:val="22"/>
          <w:szCs w:val="22"/>
        </w:rPr>
      </w:pPr>
      <w:r w:rsidRPr="0096480A">
        <w:rPr>
          <w:b/>
          <w:bCs/>
          <w:color w:val="auto"/>
          <w:sz w:val="22"/>
          <w:szCs w:val="22"/>
        </w:rPr>
        <w:t>Processi aziendali coinvolti (Processi a rischio)</w:t>
      </w:r>
    </w:p>
    <w:p w14:paraId="3F365179" w14:textId="77777777" w:rsidR="003B5D0E" w:rsidRPr="0096480A" w:rsidRDefault="003B5D0E" w:rsidP="00EA3A78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14:paraId="21E073BD" w14:textId="77777777" w:rsidR="003B5D0E" w:rsidRPr="0096480A" w:rsidRDefault="003B5D0E" w:rsidP="00EA3A78">
      <w:pPr>
        <w:pStyle w:val="Default"/>
        <w:ind w:left="720"/>
        <w:jc w:val="both"/>
        <w:rPr>
          <w:color w:val="auto"/>
          <w:sz w:val="22"/>
          <w:szCs w:val="22"/>
        </w:rPr>
      </w:pPr>
      <w:r w:rsidRPr="0096480A">
        <w:rPr>
          <w:b/>
          <w:bCs/>
          <w:color w:val="auto"/>
          <w:sz w:val="22"/>
          <w:szCs w:val="22"/>
        </w:rPr>
        <w:t xml:space="preserve"> </w:t>
      </w:r>
    </w:p>
    <w:p w14:paraId="3AC4D8E6" w14:textId="77777777" w:rsidR="003B5D0E" w:rsidRPr="0096480A" w:rsidRDefault="003B5D0E" w:rsidP="00EA3A78">
      <w:pPr>
        <w:pStyle w:val="Default"/>
        <w:jc w:val="both"/>
        <w:rPr>
          <w:color w:val="auto"/>
          <w:sz w:val="22"/>
          <w:szCs w:val="22"/>
        </w:rPr>
      </w:pPr>
      <w:r w:rsidRPr="0096480A">
        <w:rPr>
          <w:color w:val="auto"/>
          <w:sz w:val="22"/>
          <w:szCs w:val="22"/>
        </w:rPr>
        <w:t xml:space="preserve">I Destinatari del presente protocollo, per quanto rileva ai fini della prevenzione dei reati pocanzi menzionati, partecipano alla gestione dei Rapporti Consulenziali attraverso i seguenti processi aziendali: </w:t>
      </w:r>
    </w:p>
    <w:p w14:paraId="2CC1D516" w14:textId="77777777" w:rsidR="003B5D0E" w:rsidRPr="0096480A" w:rsidRDefault="003B5D0E" w:rsidP="00EA3A78">
      <w:pPr>
        <w:pStyle w:val="Default"/>
        <w:jc w:val="both"/>
        <w:rPr>
          <w:color w:val="auto"/>
          <w:sz w:val="22"/>
          <w:szCs w:val="22"/>
        </w:rPr>
      </w:pPr>
    </w:p>
    <w:p w14:paraId="23186531" w14:textId="77777777" w:rsidR="003B5D0E" w:rsidRPr="0096480A" w:rsidRDefault="003B5D0E" w:rsidP="00EA3A78">
      <w:pPr>
        <w:pStyle w:val="Default"/>
        <w:jc w:val="both"/>
        <w:rPr>
          <w:color w:val="auto"/>
          <w:sz w:val="22"/>
          <w:szCs w:val="22"/>
        </w:rPr>
      </w:pPr>
      <w:r w:rsidRPr="0096480A">
        <w:rPr>
          <w:color w:val="auto"/>
          <w:sz w:val="22"/>
          <w:szCs w:val="22"/>
        </w:rPr>
        <w:t xml:space="preserve">- Selezione dei consulenti e gestione dei rapporti; </w:t>
      </w:r>
    </w:p>
    <w:p w14:paraId="44EBFD2C" w14:textId="703950DF" w:rsidR="00EC20C2" w:rsidRPr="0096480A" w:rsidRDefault="00EC20C2" w:rsidP="00EA3A78">
      <w:pPr>
        <w:pStyle w:val="Default"/>
        <w:jc w:val="both"/>
        <w:rPr>
          <w:rFonts w:eastAsia="Times New Roman"/>
          <w:bCs/>
          <w:iCs/>
          <w:color w:val="auto"/>
          <w:sz w:val="22"/>
          <w:szCs w:val="22"/>
        </w:rPr>
      </w:pPr>
      <w:r w:rsidRPr="0096480A">
        <w:rPr>
          <w:color w:val="auto"/>
          <w:sz w:val="22"/>
          <w:szCs w:val="22"/>
        </w:rPr>
        <w:t xml:space="preserve">- </w:t>
      </w:r>
      <w:r w:rsidRPr="0096480A">
        <w:rPr>
          <w:rFonts w:eastAsia="Times New Roman"/>
          <w:bCs/>
          <w:iCs/>
          <w:color w:val="auto"/>
          <w:sz w:val="22"/>
          <w:szCs w:val="22"/>
        </w:rPr>
        <w:t>Nomina avvocati e procuratori;</w:t>
      </w:r>
    </w:p>
    <w:p w14:paraId="67AEE804" w14:textId="2BDDD131" w:rsidR="00EC20C2" w:rsidRPr="0096480A" w:rsidRDefault="00EC20C2" w:rsidP="00EA3A78">
      <w:pPr>
        <w:pStyle w:val="Default"/>
        <w:jc w:val="both"/>
        <w:rPr>
          <w:color w:val="auto"/>
          <w:sz w:val="22"/>
          <w:szCs w:val="22"/>
        </w:rPr>
      </w:pPr>
      <w:r w:rsidRPr="0096480A">
        <w:rPr>
          <w:rFonts w:eastAsia="Times New Roman"/>
          <w:bCs/>
          <w:iCs/>
          <w:color w:val="auto"/>
          <w:sz w:val="22"/>
          <w:szCs w:val="22"/>
        </w:rPr>
        <w:t>- Supporto legale in materia civile, penale, amministrativa</w:t>
      </w:r>
    </w:p>
    <w:p w14:paraId="79EEC51D" w14:textId="77777777" w:rsidR="003B5D0E" w:rsidRPr="0096480A" w:rsidRDefault="003B5D0E" w:rsidP="00EA3A78">
      <w:pPr>
        <w:pStyle w:val="Default"/>
        <w:jc w:val="both"/>
        <w:rPr>
          <w:color w:val="auto"/>
          <w:sz w:val="22"/>
          <w:szCs w:val="22"/>
        </w:rPr>
      </w:pPr>
    </w:p>
    <w:p w14:paraId="580CF234" w14:textId="77777777" w:rsidR="00EA3A78" w:rsidRPr="0096480A" w:rsidRDefault="00EA3A78" w:rsidP="00EA3A78">
      <w:pPr>
        <w:pStyle w:val="Default"/>
        <w:jc w:val="both"/>
        <w:rPr>
          <w:color w:val="auto"/>
          <w:sz w:val="22"/>
          <w:szCs w:val="22"/>
        </w:rPr>
      </w:pPr>
    </w:p>
    <w:p w14:paraId="03B49AB9" w14:textId="77777777" w:rsidR="003B5D0E" w:rsidRPr="0096480A" w:rsidRDefault="003B5D0E" w:rsidP="00EA3A78">
      <w:pPr>
        <w:pStyle w:val="Default"/>
        <w:numPr>
          <w:ilvl w:val="0"/>
          <w:numId w:val="6"/>
        </w:numPr>
        <w:jc w:val="both"/>
        <w:rPr>
          <w:b/>
          <w:bCs/>
          <w:color w:val="auto"/>
          <w:sz w:val="22"/>
          <w:szCs w:val="22"/>
        </w:rPr>
      </w:pPr>
      <w:r w:rsidRPr="0096480A">
        <w:rPr>
          <w:b/>
          <w:bCs/>
          <w:color w:val="auto"/>
          <w:sz w:val="22"/>
          <w:szCs w:val="22"/>
        </w:rPr>
        <w:t xml:space="preserve">Documentazione integrativa </w:t>
      </w:r>
    </w:p>
    <w:p w14:paraId="42A058EA" w14:textId="77777777" w:rsidR="00EA3A78" w:rsidRPr="0096480A" w:rsidRDefault="00EA3A78" w:rsidP="00EA3A78">
      <w:pPr>
        <w:pStyle w:val="Default"/>
        <w:ind w:left="720"/>
        <w:jc w:val="both"/>
        <w:rPr>
          <w:color w:val="auto"/>
          <w:sz w:val="22"/>
          <w:szCs w:val="22"/>
        </w:rPr>
      </w:pPr>
    </w:p>
    <w:p w14:paraId="1C7FDB35" w14:textId="77777777" w:rsidR="003B5D0E" w:rsidRPr="0096480A" w:rsidRDefault="003B5D0E" w:rsidP="00EA3A78">
      <w:pPr>
        <w:pStyle w:val="Default"/>
        <w:jc w:val="both"/>
        <w:rPr>
          <w:color w:val="auto"/>
          <w:sz w:val="22"/>
          <w:szCs w:val="22"/>
        </w:rPr>
      </w:pPr>
      <w:r w:rsidRPr="0096480A">
        <w:rPr>
          <w:color w:val="auto"/>
          <w:sz w:val="22"/>
          <w:szCs w:val="22"/>
        </w:rPr>
        <w:t xml:space="preserve">La Gestione dei Rapporti Consulenziali deve essere gestita nel rispetto della normativa vigente, in applicazione dei generali principi di trasparenza e correttezza ed in applicazione delle procedure previste dal Sistema </w:t>
      </w:r>
      <w:r w:rsidR="006A145A" w:rsidRPr="0096480A">
        <w:rPr>
          <w:color w:val="auto"/>
          <w:sz w:val="22"/>
          <w:szCs w:val="22"/>
        </w:rPr>
        <w:t>Qualità</w:t>
      </w:r>
      <w:r w:rsidRPr="0096480A">
        <w:rPr>
          <w:color w:val="auto"/>
          <w:sz w:val="22"/>
          <w:szCs w:val="22"/>
        </w:rPr>
        <w:t xml:space="preserve">, che vengono qui integralmente richiamate. </w:t>
      </w:r>
    </w:p>
    <w:p w14:paraId="70093DB1" w14:textId="77777777" w:rsidR="003B5D0E" w:rsidRPr="0096480A" w:rsidRDefault="003B5D0E" w:rsidP="00EA3A78">
      <w:pPr>
        <w:pStyle w:val="Default"/>
        <w:jc w:val="both"/>
        <w:rPr>
          <w:color w:val="auto"/>
          <w:sz w:val="22"/>
          <w:szCs w:val="22"/>
        </w:rPr>
      </w:pPr>
      <w:r w:rsidRPr="0096480A">
        <w:rPr>
          <w:color w:val="auto"/>
          <w:sz w:val="22"/>
          <w:szCs w:val="22"/>
        </w:rPr>
        <w:t xml:space="preserve">I consulenti sono tenuti al rigoroso rispetto della normativa vigente e dei principi espressi nel Codice Etico. </w:t>
      </w:r>
    </w:p>
    <w:p w14:paraId="2D90AD68" w14:textId="77777777" w:rsidR="003B5D0E" w:rsidRPr="0096480A" w:rsidRDefault="003B5D0E" w:rsidP="00EA3A78">
      <w:pPr>
        <w:pStyle w:val="Default"/>
        <w:jc w:val="both"/>
        <w:rPr>
          <w:color w:val="auto"/>
          <w:sz w:val="22"/>
          <w:szCs w:val="22"/>
        </w:rPr>
      </w:pPr>
      <w:r w:rsidRPr="0096480A">
        <w:rPr>
          <w:color w:val="auto"/>
          <w:sz w:val="22"/>
          <w:szCs w:val="22"/>
        </w:rPr>
        <w:t xml:space="preserve">Pertanto, la presente procedura richiama ed integra quanto già disciplinato nell’ambito della seguente documentazione: </w:t>
      </w:r>
    </w:p>
    <w:p w14:paraId="22593D3C" w14:textId="77777777" w:rsidR="00EA3A78" w:rsidRPr="0096480A" w:rsidRDefault="00EA3A78" w:rsidP="00EA3A78">
      <w:pPr>
        <w:pStyle w:val="Default"/>
        <w:jc w:val="both"/>
        <w:rPr>
          <w:color w:val="auto"/>
          <w:sz w:val="22"/>
          <w:szCs w:val="22"/>
        </w:rPr>
      </w:pPr>
    </w:p>
    <w:p w14:paraId="548EE117" w14:textId="77777777" w:rsidR="003B5D0E" w:rsidRPr="0096480A" w:rsidRDefault="003B5D0E" w:rsidP="00EA3A78">
      <w:pPr>
        <w:pStyle w:val="Default"/>
        <w:numPr>
          <w:ilvl w:val="0"/>
          <w:numId w:val="5"/>
        </w:numPr>
        <w:spacing w:after="7"/>
        <w:jc w:val="both"/>
        <w:rPr>
          <w:color w:val="auto"/>
          <w:sz w:val="22"/>
          <w:szCs w:val="22"/>
        </w:rPr>
      </w:pPr>
      <w:r w:rsidRPr="0096480A">
        <w:rPr>
          <w:color w:val="auto"/>
          <w:sz w:val="22"/>
          <w:szCs w:val="22"/>
        </w:rPr>
        <w:t xml:space="preserve">Codice Etico </w:t>
      </w:r>
    </w:p>
    <w:p w14:paraId="085E1556" w14:textId="77777777" w:rsidR="003B5D0E" w:rsidRPr="0096480A" w:rsidRDefault="003B5D0E" w:rsidP="00EA3A78">
      <w:pPr>
        <w:pStyle w:val="Default"/>
        <w:numPr>
          <w:ilvl w:val="0"/>
          <w:numId w:val="5"/>
        </w:numPr>
        <w:spacing w:after="7"/>
        <w:jc w:val="both"/>
        <w:rPr>
          <w:color w:val="auto"/>
          <w:sz w:val="22"/>
          <w:szCs w:val="22"/>
        </w:rPr>
      </w:pPr>
      <w:r w:rsidRPr="0096480A">
        <w:rPr>
          <w:color w:val="auto"/>
          <w:sz w:val="22"/>
          <w:szCs w:val="22"/>
        </w:rPr>
        <w:t xml:space="preserve">Poteri, deleghe e procure </w:t>
      </w:r>
    </w:p>
    <w:p w14:paraId="1C653FE3" w14:textId="77777777" w:rsidR="003B5D0E" w:rsidRPr="0096480A" w:rsidRDefault="003B5D0E" w:rsidP="00EA3A78">
      <w:pPr>
        <w:pStyle w:val="Default"/>
        <w:spacing w:after="7"/>
        <w:jc w:val="both"/>
        <w:rPr>
          <w:color w:val="auto"/>
          <w:sz w:val="22"/>
          <w:szCs w:val="22"/>
        </w:rPr>
      </w:pPr>
    </w:p>
    <w:p w14:paraId="7350B16B" w14:textId="77777777" w:rsidR="003B5D0E" w:rsidRPr="0096480A" w:rsidRDefault="003B5D0E" w:rsidP="00EA3A78">
      <w:pPr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Altri protocolli del presente MOG cui si rinvia, per quanto di competenza, con particolare – ma non esclusivo – riferimento a: </w:t>
      </w:r>
    </w:p>
    <w:p w14:paraId="379A54AA" w14:textId="77777777" w:rsidR="00B66A05" w:rsidRPr="0096480A" w:rsidRDefault="003B5D0E" w:rsidP="00EA3A78">
      <w:pPr>
        <w:pStyle w:val="Default"/>
        <w:spacing w:after="44"/>
        <w:jc w:val="both"/>
        <w:rPr>
          <w:color w:val="auto"/>
          <w:sz w:val="22"/>
          <w:szCs w:val="22"/>
        </w:rPr>
      </w:pPr>
      <w:r w:rsidRPr="0096480A">
        <w:rPr>
          <w:color w:val="auto"/>
          <w:sz w:val="22"/>
          <w:szCs w:val="22"/>
        </w:rPr>
        <w:t>- Protocollo 1 (Gestione dei rapporti con l’ODV) per quanto attiene i flussi informativi verso l’ODV;</w:t>
      </w:r>
    </w:p>
    <w:p w14:paraId="6BD53871" w14:textId="57A5971E" w:rsidR="003B5D0E" w:rsidRPr="0096480A" w:rsidRDefault="00B66A05" w:rsidP="00EA3A78">
      <w:pPr>
        <w:pStyle w:val="Default"/>
        <w:spacing w:after="44"/>
        <w:jc w:val="both"/>
        <w:rPr>
          <w:color w:val="auto"/>
          <w:sz w:val="22"/>
          <w:szCs w:val="22"/>
        </w:rPr>
      </w:pPr>
      <w:r w:rsidRPr="0096480A">
        <w:rPr>
          <w:color w:val="auto"/>
          <w:sz w:val="22"/>
          <w:szCs w:val="22"/>
        </w:rPr>
        <w:t>- Protocollo 2 (Gestione dei flussi finanziari) per quanto attiene ai flussi</w:t>
      </w:r>
      <w:r w:rsidR="00545408" w:rsidRPr="0096480A">
        <w:rPr>
          <w:color w:val="auto"/>
          <w:sz w:val="22"/>
          <w:szCs w:val="22"/>
        </w:rPr>
        <w:t xml:space="preserve"> finanziari</w:t>
      </w:r>
      <w:r w:rsidRPr="0096480A">
        <w:rPr>
          <w:color w:val="auto"/>
          <w:sz w:val="22"/>
          <w:szCs w:val="22"/>
        </w:rPr>
        <w:t xml:space="preserve"> verso i consulenti.</w:t>
      </w:r>
      <w:r w:rsidR="003B5D0E" w:rsidRPr="0096480A">
        <w:rPr>
          <w:color w:val="auto"/>
          <w:sz w:val="22"/>
          <w:szCs w:val="22"/>
        </w:rPr>
        <w:t xml:space="preserve"> </w:t>
      </w:r>
    </w:p>
    <w:p w14:paraId="6DE346F3" w14:textId="77777777" w:rsidR="003B5D0E" w:rsidRPr="0096480A" w:rsidRDefault="003B5D0E" w:rsidP="00EA3A78">
      <w:pPr>
        <w:pStyle w:val="Default"/>
        <w:jc w:val="both"/>
        <w:rPr>
          <w:color w:val="auto"/>
          <w:sz w:val="22"/>
          <w:szCs w:val="22"/>
        </w:rPr>
      </w:pPr>
      <w:r w:rsidRPr="0096480A">
        <w:rPr>
          <w:color w:val="auto"/>
          <w:sz w:val="22"/>
          <w:szCs w:val="22"/>
        </w:rPr>
        <w:t xml:space="preserve">- Protocollo 5 (Anticorruzione e gestione dei rapporti con le PP.AA.) per quanto attiene ai rapporti che il consulente intrattiene con le Pubbliche Amministrazioni; </w:t>
      </w:r>
    </w:p>
    <w:p w14:paraId="32F370D2" w14:textId="5751BC33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- Protocollo 9 (Gestione delle attività informatiche) per quanto attiene alla selezione dei consulenti informatici e alla gestione dei rapporti. </w:t>
      </w:r>
    </w:p>
    <w:p w14:paraId="589AC420" w14:textId="3E74342D" w:rsidR="002143CA" w:rsidRPr="0096480A" w:rsidRDefault="000E2CE0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- Protocollo 12 (Gestione contabile e societaria) per quanto attiene </w:t>
      </w:r>
      <w:r w:rsidR="000F06AB" w:rsidRPr="0096480A">
        <w:rPr>
          <w:rFonts w:ascii="Arial" w:hAnsi="Arial" w:cs="Arial"/>
        </w:rPr>
        <w:t>alla gestione dei rapporti con il consulente fiscale e all’attività da questi posta in essere</w:t>
      </w:r>
    </w:p>
    <w:p w14:paraId="4462E740" w14:textId="77777777" w:rsidR="002143CA" w:rsidRPr="0096480A" w:rsidRDefault="002143CA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14E641C" w14:textId="77777777" w:rsidR="002143CA" w:rsidRPr="0096480A" w:rsidRDefault="002143CA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7634230" w14:textId="77777777" w:rsidR="003B5D0E" w:rsidRPr="0096480A" w:rsidRDefault="003B5D0E" w:rsidP="00EA3A78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6480A">
        <w:rPr>
          <w:rFonts w:ascii="Arial" w:hAnsi="Arial" w:cs="Arial"/>
          <w:b/>
          <w:bCs/>
        </w:rPr>
        <w:t xml:space="preserve">Procedure da applicare </w:t>
      </w:r>
    </w:p>
    <w:p w14:paraId="15EF183C" w14:textId="77777777" w:rsidR="00194163" w:rsidRPr="0096480A" w:rsidRDefault="00194163" w:rsidP="0019416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108185C0" w14:textId="77777777" w:rsidR="00EA3A78" w:rsidRPr="0096480A" w:rsidRDefault="00EA3A78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3F4C2F5" w14:textId="77777777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Ai fini della prevenzione dei reati di cui al d.lgs. 231/01 con riferimento ai processi aziendali coinvolti e che si ritengono potenzialmente a rischio commissione reato di cui al suddetto decreto come da punto 3 del presente protocollo, si delineano le seguenti procedure: </w:t>
      </w:r>
    </w:p>
    <w:p w14:paraId="6FE81149" w14:textId="77777777" w:rsidR="00EA3A78" w:rsidRPr="0096480A" w:rsidRDefault="00EA3A78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4EC0705" w14:textId="77777777" w:rsidR="00EA3A78" w:rsidRPr="0096480A" w:rsidRDefault="00EA3A78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DD61B10" w14:textId="77777777" w:rsidR="00D54D86" w:rsidRPr="0096480A" w:rsidRDefault="00D54D86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9D92341" w14:textId="77777777" w:rsidR="003B5D0E" w:rsidRPr="0096480A" w:rsidRDefault="003B5D0E" w:rsidP="00EA3A7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  <w:r w:rsidRPr="0096480A">
        <w:rPr>
          <w:rFonts w:ascii="Arial" w:hAnsi="Arial" w:cs="Arial"/>
          <w:u w:val="single"/>
        </w:rPr>
        <w:t xml:space="preserve">a) </w:t>
      </w:r>
      <w:r w:rsidRPr="0096480A">
        <w:rPr>
          <w:rFonts w:ascii="Arial" w:hAnsi="Arial" w:cs="Arial"/>
          <w:i/>
          <w:iCs/>
          <w:u w:val="single"/>
        </w:rPr>
        <w:t xml:space="preserve">Selezione dei consulenti e gestione del rapporto </w:t>
      </w:r>
    </w:p>
    <w:p w14:paraId="1A2A6AC7" w14:textId="77777777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84F1900" w14:textId="77777777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  <w:i/>
          <w:iCs/>
        </w:rPr>
        <w:t xml:space="preserve">1) Scelta del consulente </w:t>
      </w:r>
    </w:p>
    <w:p w14:paraId="3D7F047E" w14:textId="77777777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CDC3A67" w14:textId="77777777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La scelta e selezione dei consulenti avviene tenendo conto di: </w:t>
      </w:r>
    </w:p>
    <w:p w14:paraId="37B95916" w14:textId="77777777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- ambito di specializzazione del singolo professionista; </w:t>
      </w:r>
    </w:p>
    <w:p w14:paraId="5C9B6866" w14:textId="77777777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- documentata e comprovata competenza professionale; </w:t>
      </w:r>
    </w:p>
    <w:p w14:paraId="5100EEDD" w14:textId="77777777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- organizzazione della quale il professionista si avvale; </w:t>
      </w:r>
    </w:p>
    <w:p w14:paraId="2BD87E03" w14:textId="77777777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- puntualità delle prestazioni rese; </w:t>
      </w:r>
    </w:p>
    <w:p w14:paraId="2B66F7E2" w14:textId="77777777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- adeguatezza dei compensi richiesti. </w:t>
      </w:r>
    </w:p>
    <w:p w14:paraId="284054D2" w14:textId="77777777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L’ODV ha facoltà di verificare la corretta applicazione di tale procedura. </w:t>
      </w:r>
    </w:p>
    <w:p w14:paraId="4702CD36" w14:textId="77777777" w:rsidR="00EA3A78" w:rsidRPr="0096480A" w:rsidRDefault="00EA3A78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187710D" w14:textId="77777777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  <w:i/>
          <w:iCs/>
        </w:rPr>
        <w:t xml:space="preserve">2) Contrattualizzazione del rapporto </w:t>
      </w:r>
    </w:p>
    <w:p w14:paraId="5408D0CB" w14:textId="77777777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13EEA1D" w14:textId="4572998C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>All’atto della contrattualizzazione del rapporto con il consulente, l</w:t>
      </w:r>
      <w:r w:rsidR="00755D18" w:rsidRPr="0096480A">
        <w:rPr>
          <w:rFonts w:ascii="Arial" w:hAnsi="Arial" w:cs="Arial"/>
        </w:rPr>
        <w:t xml:space="preserve">a </w:t>
      </w:r>
      <w:r w:rsidR="00D41C9D" w:rsidRPr="0096480A">
        <w:rPr>
          <w:rFonts w:ascii="Arial" w:hAnsi="Arial" w:cs="Arial"/>
        </w:rPr>
        <w:t xml:space="preserve">Fondazione </w:t>
      </w:r>
      <w:r w:rsidRPr="0096480A">
        <w:rPr>
          <w:rFonts w:ascii="Arial" w:hAnsi="Arial" w:cs="Arial"/>
        </w:rPr>
        <w:t xml:space="preserve">deve dare corso a quanto previsto nel presente MOG 231, Parte Generale, con riferimento alla diffusione del Codice Etico e del MOG231. Il consulente è tenuto ad accettare espressamente i suddetti documenti a mezzo di inserimento di apposita clausola nel contratto, con ciò vincolandosi a quanto previsto nel sistema disciplinare in caso di violazione del MOG231 e/o del Codice Etico. </w:t>
      </w:r>
    </w:p>
    <w:p w14:paraId="15A849BB" w14:textId="77777777" w:rsidR="00EA3A78" w:rsidRPr="0096480A" w:rsidRDefault="00EA3A78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42153B0" w14:textId="77777777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La violazione del Codice Etico e/o del MOG231 da parte del consulente può comportare la risoluzione del contratto con effetto dal momento dell’accertamento residuando in capo alla </w:t>
      </w:r>
      <w:r w:rsidR="00D41C9D" w:rsidRPr="0096480A">
        <w:rPr>
          <w:rFonts w:ascii="Arial" w:hAnsi="Arial" w:cs="Arial"/>
        </w:rPr>
        <w:t xml:space="preserve">Fondazione </w:t>
      </w:r>
      <w:r w:rsidRPr="0096480A">
        <w:rPr>
          <w:rFonts w:ascii="Arial" w:hAnsi="Arial" w:cs="Arial"/>
        </w:rPr>
        <w:t xml:space="preserve">il diritto al risarcimento del danno. </w:t>
      </w:r>
    </w:p>
    <w:p w14:paraId="3D946F17" w14:textId="77777777" w:rsidR="00EA3A78" w:rsidRPr="0096480A" w:rsidRDefault="00EA3A78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2768B6B" w14:textId="77777777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  <w:i/>
          <w:iCs/>
        </w:rPr>
        <w:t xml:space="preserve">3) Gestione del rapporto </w:t>
      </w:r>
    </w:p>
    <w:p w14:paraId="18CF34FB" w14:textId="77777777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03041FF" w14:textId="77777777" w:rsidR="003B5D0E" w:rsidRPr="0096480A" w:rsidRDefault="003B5D0E" w:rsidP="00EA3A78">
      <w:pPr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Tra la </w:t>
      </w:r>
      <w:r w:rsidR="00D41C9D" w:rsidRPr="0096480A">
        <w:rPr>
          <w:rFonts w:ascii="Arial" w:hAnsi="Arial" w:cs="Arial"/>
        </w:rPr>
        <w:t xml:space="preserve">Fondazione </w:t>
      </w:r>
      <w:r w:rsidRPr="0096480A">
        <w:rPr>
          <w:rFonts w:ascii="Arial" w:hAnsi="Arial" w:cs="Arial"/>
        </w:rPr>
        <w:t xml:space="preserve">ed il consulente deve sussistere apposito contratto, che viene conservato dalla </w:t>
      </w:r>
      <w:r w:rsidR="00D41C9D" w:rsidRPr="0096480A">
        <w:rPr>
          <w:rFonts w:ascii="Arial" w:hAnsi="Arial" w:cs="Arial"/>
        </w:rPr>
        <w:t>Fondazione</w:t>
      </w:r>
      <w:r w:rsidRPr="0096480A">
        <w:rPr>
          <w:rFonts w:ascii="Arial" w:hAnsi="Arial" w:cs="Arial"/>
        </w:rPr>
        <w:t xml:space="preserve"> in apposito fascicolo (anche informatico). Nel presente fascicolo la </w:t>
      </w:r>
      <w:r w:rsidR="00D41C9D" w:rsidRPr="0096480A">
        <w:rPr>
          <w:rFonts w:ascii="Arial" w:hAnsi="Arial" w:cs="Arial"/>
        </w:rPr>
        <w:t>Fondazione</w:t>
      </w:r>
      <w:r w:rsidRPr="0096480A">
        <w:rPr>
          <w:rFonts w:ascii="Arial" w:hAnsi="Arial" w:cs="Arial"/>
        </w:rPr>
        <w:t xml:space="preserve"> inserisce la documentazione concernente lo sviluppo dell’incarico consulenziale</w:t>
      </w:r>
    </w:p>
    <w:p w14:paraId="3660C90D" w14:textId="77777777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Ogni anomalia inerente </w:t>
      </w:r>
      <w:proofErr w:type="gramStart"/>
      <w:r w:rsidRPr="0096480A">
        <w:rPr>
          <w:rFonts w:ascii="Arial" w:hAnsi="Arial" w:cs="Arial"/>
        </w:rPr>
        <w:t>la</w:t>
      </w:r>
      <w:proofErr w:type="gramEnd"/>
      <w:r w:rsidRPr="0096480A">
        <w:rPr>
          <w:rFonts w:ascii="Arial" w:hAnsi="Arial" w:cs="Arial"/>
        </w:rPr>
        <w:t xml:space="preserve"> gestione dei rapporti con i Consulenti deve essere tempestivamente comunicata all’ODV a mezzo degli appositi canali (Prot. 1). </w:t>
      </w:r>
    </w:p>
    <w:p w14:paraId="3A0DC367" w14:textId="77777777" w:rsidR="00EA3A78" w:rsidRPr="0096480A" w:rsidRDefault="00EA3A78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D0E0B6D" w14:textId="77777777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In ordine ai flussi finanziari, essi devono avvenire nel rispetto del protocollo di gestione dei flussi </w:t>
      </w:r>
    </w:p>
    <w:p w14:paraId="5ED93999" w14:textId="77777777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finanziari (Prot.2), cui si rimanda integralmente. </w:t>
      </w:r>
    </w:p>
    <w:p w14:paraId="4E839D17" w14:textId="77777777" w:rsidR="00EA3A78" w:rsidRPr="0096480A" w:rsidRDefault="00EA3A78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A2E5486" w14:textId="77777777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Laddove i consulenti intrattengano rapporti con le PP.AA., essi devono avvenire nel pieno rispetto delle norme vigenti, in applicazione del Codice Etico ed in ossequio al generale principio di trasparenza. I </w:t>
      </w:r>
      <w:r w:rsidR="00755D18" w:rsidRPr="0096480A">
        <w:rPr>
          <w:rFonts w:ascii="Arial" w:hAnsi="Arial" w:cs="Arial"/>
        </w:rPr>
        <w:t>c</w:t>
      </w:r>
      <w:r w:rsidRPr="0096480A">
        <w:rPr>
          <w:rFonts w:ascii="Arial" w:hAnsi="Arial" w:cs="Arial"/>
        </w:rPr>
        <w:t xml:space="preserve">onsulenti sono tenuti a segnalare alla </w:t>
      </w:r>
      <w:r w:rsidR="00D41C9D" w:rsidRPr="0096480A">
        <w:rPr>
          <w:rFonts w:ascii="Arial" w:hAnsi="Arial" w:cs="Arial"/>
        </w:rPr>
        <w:t>Fondazione</w:t>
      </w:r>
      <w:r w:rsidRPr="0096480A">
        <w:rPr>
          <w:rFonts w:ascii="Arial" w:hAnsi="Arial" w:cs="Arial"/>
        </w:rPr>
        <w:t xml:space="preserve"> ed all’ODV ogni anomalia insorgente nei rapporti con le PP.AA. </w:t>
      </w:r>
    </w:p>
    <w:p w14:paraId="6CB7B8B1" w14:textId="77777777" w:rsidR="00EC20C2" w:rsidRPr="0096480A" w:rsidRDefault="00EC20C2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80B76B4" w14:textId="77777777" w:rsidR="00EC20C2" w:rsidRPr="0096480A" w:rsidRDefault="00EC20C2" w:rsidP="00EC20C2">
      <w:pPr>
        <w:pStyle w:val="Default"/>
        <w:numPr>
          <w:ilvl w:val="0"/>
          <w:numId w:val="7"/>
        </w:numPr>
        <w:ind w:left="357" w:hanging="357"/>
        <w:jc w:val="both"/>
        <w:rPr>
          <w:rFonts w:eastAsia="Times New Roman"/>
          <w:b/>
          <w:bCs/>
          <w:i/>
          <w:iCs/>
          <w:color w:val="auto"/>
          <w:sz w:val="22"/>
          <w:szCs w:val="22"/>
          <w:u w:val="single"/>
        </w:rPr>
      </w:pPr>
      <w:bookmarkStart w:id="1" w:name="_Hlk50645588"/>
      <w:r w:rsidRPr="0096480A">
        <w:rPr>
          <w:b/>
          <w:bCs/>
          <w:i/>
          <w:iCs/>
          <w:color w:val="auto"/>
          <w:sz w:val="22"/>
          <w:szCs w:val="22"/>
          <w:u w:val="single"/>
        </w:rPr>
        <w:t>n</w:t>
      </w:r>
      <w:r w:rsidRPr="0096480A">
        <w:rPr>
          <w:rFonts w:eastAsia="Times New Roman"/>
          <w:b/>
          <w:bCs/>
          <w:i/>
          <w:iCs/>
          <w:color w:val="auto"/>
          <w:sz w:val="22"/>
          <w:szCs w:val="22"/>
          <w:u w:val="single"/>
        </w:rPr>
        <w:t>omina avvocati e procuratori;</w:t>
      </w:r>
    </w:p>
    <w:p w14:paraId="4AD5C78F" w14:textId="77777777" w:rsidR="00EC20C2" w:rsidRPr="0096480A" w:rsidRDefault="00EC20C2" w:rsidP="00EC20C2">
      <w:pPr>
        <w:pStyle w:val="Default"/>
        <w:numPr>
          <w:ilvl w:val="0"/>
          <w:numId w:val="7"/>
        </w:numPr>
        <w:ind w:left="357" w:hanging="357"/>
        <w:jc w:val="both"/>
        <w:rPr>
          <w:rFonts w:eastAsia="Times New Roman"/>
          <w:b/>
          <w:bCs/>
          <w:i/>
          <w:iCs/>
          <w:color w:val="auto"/>
          <w:sz w:val="22"/>
          <w:szCs w:val="22"/>
          <w:u w:val="single"/>
        </w:rPr>
      </w:pPr>
      <w:r w:rsidRPr="0096480A">
        <w:rPr>
          <w:rFonts w:eastAsia="Times New Roman"/>
          <w:b/>
          <w:bCs/>
          <w:i/>
          <w:iCs/>
          <w:color w:val="auto"/>
          <w:sz w:val="22"/>
          <w:szCs w:val="22"/>
          <w:u w:val="single"/>
        </w:rPr>
        <w:t>supporto legale in materia civile, penale, amministrativa</w:t>
      </w:r>
      <w:bookmarkEnd w:id="1"/>
    </w:p>
    <w:p w14:paraId="06558F92" w14:textId="77777777" w:rsidR="00EC20C2" w:rsidRPr="0096480A" w:rsidRDefault="00EC20C2" w:rsidP="00EC2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B71869E" w14:textId="77777777" w:rsidR="00EC20C2" w:rsidRPr="0096480A" w:rsidRDefault="00EC20C2" w:rsidP="00EC2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>Con riferimento all’analisi delle presenti procedure di prevenzione si rimanda integralmente a quanto sopra riportato in merito alla procedura di prevenzione di “selezione dei consulenti e gestione del rapporto”, di cui le presenti procedure sono parte integrante.</w:t>
      </w:r>
    </w:p>
    <w:p w14:paraId="1A01F472" w14:textId="77777777" w:rsidR="00EC20C2" w:rsidRPr="0096480A" w:rsidRDefault="00EC20C2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E6D5200" w14:textId="77777777" w:rsidR="00EA3A78" w:rsidRPr="0096480A" w:rsidRDefault="00EA3A78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2EFA21D" w14:textId="2274A772" w:rsidR="00755D18" w:rsidRPr="0096480A" w:rsidRDefault="00755D18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CCEDBC6" w14:textId="77777777" w:rsidR="00EC20C2" w:rsidRPr="0096480A" w:rsidRDefault="00EC20C2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4D836B6" w14:textId="77777777" w:rsidR="00EC20C2" w:rsidRPr="0096480A" w:rsidRDefault="00EC20C2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0489754" w14:textId="0A2F7C39" w:rsidR="00385268" w:rsidRPr="0096480A" w:rsidRDefault="00385268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ABD5C04" w14:textId="77777777" w:rsidR="00DD3E3B" w:rsidRPr="0096480A" w:rsidRDefault="00DD3E3B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E2B23C0" w14:textId="77777777" w:rsidR="00755D18" w:rsidRPr="0096480A" w:rsidRDefault="00755D18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8076832" w14:textId="77777777" w:rsidR="003B5D0E" w:rsidRPr="0096480A" w:rsidRDefault="003B5D0E" w:rsidP="00EA3A78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6480A">
        <w:rPr>
          <w:rFonts w:ascii="Arial" w:hAnsi="Arial" w:cs="Arial"/>
          <w:b/>
          <w:bCs/>
        </w:rPr>
        <w:lastRenderedPageBreak/>
        <w:t xml:space="preserve">Attività dell’ODV </w:t>
      </w:r>
    </w:p>
    <w:p w14:paraId="7F353222" w14:textId="77777777" w:rsidR="00EA3A78" w:rsidRPr="0096480A" w:rsidRDefault="00EA3A78" w:rsidP="00EA3A7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6D138BD" w14:textId="77777777" w:rsidR="003B5D0E" w:rsidRPr="0096480A" w:rsidRDefault="003B5D0E" w:rsidP="00755D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Premessi i generali poteri di iniziativa e controllo, l’ODV ha facoltà di prendere visione di tutti i </w:t>
      </w:r>
    </w:p>
    <w:p w14:paraId="137A8434" w14:textId="77777777" w:rsidR="003B5D0E" w:rsidRPr="0096480A" w:rsidRDefault="003B5D0E" w:rsidP="00755D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documenti concernenti i rapporti con i consulenti e fornitori, in particolare al fine di: </w:t>
      </w:r>
    </w:p>
    <w:p w14:paraId="5E2E74B0" w14:textId="77777777" w:rsidR="003B5D0E" w:rsidRPr="0096480A" w:rsidRDefault="003B5D0E" w:rsidP="00755D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- verificare l’avvenuta comunicazione del Codice Etico e del Modello di Organizzazione, Gestione e Controllo ex D.lgs. 231/2001 vigente nella </w:t>
      </w:r>
      <w:r w:rsidR="00D41C9D" w:rsidRPr="0096480A">
        <w:rPr>
          <w:rFonts w:ascii="Arial" w:hAnsi="Arial" w:cs="Arial"/>
        </w:rPr>
        <w:t>Fondazione</w:t>
      </w:r>
      <w:r w:rsidRPr="0096480A">
        <w:rPr>
          <w:rFonts w:ascii="Arial" w:hAnsi="Arial" w:cs="Arial"/>
        </w:rPr>
        <w:t xml:space="preserve">; </w:t>
      </w:r>
    </w:p>
    <w:p w14:paraId="373F6DD0" w14:textId="77777777" w:rsidR="003B5D0E" w:rsidRPr="0096480A" w:rsidRDefault="003B5D0E" w:rsidP="00755D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- verificare il contratto di consulenza e – a campione – prova dell’effettivo svolgimento dell’incarico; </w:t>
      </w:r>
    </w:p>
    <w:p w14:paraId="1764914B" w14:textId="77777777" w:rsidR="003B5D0E" w:rsidRPr="0096480A" w:rsidRDefault="003B5D0E" w:rsidP="00755D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>- verificare i flussi finanziari da e verso i consulenti</w:t>
      </w:r>
      <w:r w:rsidR="00194163" w:rsidRPr="0096480A">
        <w:rPr>
          <w:rFonts w:ascii="Arial" w:hAnsi="Arial" w:cs="Arial"/>
        </w:rPr>
        <w:t>.</w:t>
      </w:r>
      <w:r w:rsidRPr="0096480A">
        <w:rPr>
          <w:rFonts w:ascii="Arial" w:hAnsi="Arial" w:cs="Arial"/>
        </w:rPr>
        <w:t xml:space="preserve"> </w:t>
      </w:r>
    </w:p>
    <w:p w14:paraId="08269DBA" w14:textId="77777777" w:rsidR="00EA3A78" w:rsidRPr="0096480A" w:rsidRDefault="00EA3A78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C7D93E1" w14:textId="77777777" w:rsidR="00EA3A78" w:rsidRPr="0096480A" w:rsidRDefault="00EA3A78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89EF822" w14:textId="77777777" w:rsidR="00D41C9D" w:rsidRPr="0096480A" w:rsidRDefault="00D41C9D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5A1D836" w14:textId="77777777" w:rsidR="00D41C9D" w:rsidRPr="0096480A" w:rsidRDefault="00D41C9D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CF081BC" w14:textId="77777777" w:rsidR="00D41C9D" w:rsidRPr="0096480A" w:rsidRDefault="00D41C9D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1ADD545" w14:textId="77777777" w:rsidR="003B5D0E" w:rsidRPr="0096480A" w:rsidRDefault="003B5D0E" w:rsidP="00EA3A78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6480A">
        <w:rPr>
          <w:rFonts w:ascii="Arial" w:hAnsi="Arial" w:cs="Arial"/>
          <w:b/>
          <w:bCs/>
        </w:rPr>
        <w:t xml:space="preserve">Disposizioni Finali </w:t>
      </w:r>
    </w:p>
    <w:p w14:paraId="34DBBF50" w14:textId="77777777" w:rsidR="00EA3A78" w:rsidRPr="0096480A" w:rsidRDefault="00EA3A78" w:rsidP="00EA3A7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D4734A7" w14:textId="77777777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Tutte le funzioni aziendali coinvolte hanno la responsabilità di osservare e far osservare il contenuto del presente protocollo. </w:t>
      </w:r>
    </w:p>
    <w:p w14:paraId="5FBBEDA4" w14:textId="77777777" w:rsidR="003B5D0E" w:rsidRPr="0096480A" w:rsidRDefault="003B5D0E" w:rsidP="00EA3A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 xml:space="preserve">Ciascun Destinatario è tenuto a comunicare tempestivamente all’ODV, oltre a quanto espressamente previsto dalla procedura di Gestione dei Rapporti con l’ODV (Prot. 1), ogni anomalia rilevabile in relazione a quanto previsto dal presente protocollo. </w:t>
      </w:r>
    </w:p>
    <w:p w14:paraId="479899E6" w14:textId="77777777" w:rsidR="003B5D0E" w:rsidRPr="0096480A" w:rsidRDefault="003B5D0E" w:rsidP="00EA3A78">
      <w:pPr>
        <w:jc w:val="both"/>
        <w:rPr>
          <w:rFonts w:ascii="Arial" w:hAnsi="Arial" w:cs="Arial"/>
        </w:rPr>
      </w:pPr>
      <w:r w:rsidRPr="0096480A">
        <w:rPr>
          <w:rFonts w:ascii="Arial" w:hAnsi="Arial" w:cs="Arial"/>
        </w:rPr>
        <w:t>La violazione del presente protocollo e dei suoi obblighi di comunicazione costituisce violazione del MOG231 e illecito disciplinare passibile di sanzione ai sensi di legge e del contratto collettivo nazionale di lavoro applicabile.</w:t>
      </w:r>
    </w:p>
    <w:p w14:paraId="4454E6EB" w14:textId="77777777" w:rsidR="0098714B" w:rsidRPr="0096480A" w:rsidRDefault="0098714B" w:rsidP="00EA3A78">
      <w:pPr>
        <w:jc w:val="both"/>
        <w:rPr>
          <w:rFonts w:ascii="Arial" w:hAnsi="Arial" w:cs="Arial"/>
        </w:rPr>
      </w:pPr>
    </w:p>
    <w:p w14:paraId="082BA176" w14:textId="77777777" w:rsidR="0098714B" w:rsidRPr="0096480A" w:rsidRDefault="0098714B" w:rsidP="00EA3A78">
      <w:pPr>
        <w:jc w:val="both"/>
        <w:rPr>
          <w:rFonts w:ascii="Arial" w:hAnsi="Arial" w:cs="Arial"/>
        </w:rPr>
      </w:pPr>
    </w:p>
    <w:p w14:paraId="0CDDE86A" w14:textId="77777777" w:rsidR="0098714B" w:rsidRPr="0096480A" w:rsidRDefault="0098714B" w:rsidP="0098714B">
      <w:pPr>
        <w:keepNext/>
        <w:keepLines/>
        <w:spacing w:after="40" w:line="240" w:lineRule="auto"/>
        <w:ind w:left="432" w:right="-2"/>
        <w:outlineLvl w:val="0"/>
        <w:rPr>
          <w:rFonts w:ascii="Arial" w:eastAsia="SimSun" w:hAnsi="Arial" w:cs="Arial"/>
          <w:sz w:val="36"/>
          <w:szCs w:val="36"/>
          <w:lang w:eastAsia="it-IT"/>
        </w:rPr>
      </w:pPr>
      <w:r w:rsidRPr="0096480A">
        <w:rPr>
          <w:rFonts w:ascii="Arial" w:eastAsia="SimSun" w:hAnsi="Arial" w:cs="Arial"/>
          <w:sz w:val="36"/>
          <w:szCs w:val="36"/>
          <w:lang w:eastAsia="it-IT"/>
        </w:rPr>
        <w:t>Stato delle revisioni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64"/>
      </w:tblGrid>
      <w:tr w:rsidR="0096480A" w:rsidRPr="0096480A" w14:paraId="37DCEDBD" w14:textId="77777777" w:rsidTr="001F2FF2">
        <w:trPr>
          <w:cantSplit/>
          <w:trHeight w:val="433"/>
        </w:trPr>
        <w:tc>
          <w:tcPr>
            <w:tcW w:w="8664" w:type="dxa"/>
            <w:tcBorders>
              <w:bottom w:val="nil"/>
            </w:tcBorders>
            <w:vAlign w:val="center"/>
          </w:tcPr>
          <w:p w14:paraId="3829D4FE" w14:textId="77777777" w:rsidR="0098714B" w:rsidRPr="0096480A" w:rsidRDefault="0098714B" w:rsidP="0098714B">
            <w:pPr>
              <w:keepNext/>
              <w:ind w:right="-2"/>
              <w:rPr>
                <w:rFonts w:ascii="Arial" w:eastAsia="Times New Roman" w:hAnsi="Arial" w:cs="Arial"/>
                <w:b/>
                <w:i/>
                <w:sz w:val="14"/>
                <w:lang w:eastAsia="it-IT"/>
              </w:rPr>
            </w:pPr>
            <w:r w:rsidRPr="0096480A">
              <w:rPr>
                <w:rFonts w:ascii="Arial" w:eastAsia="Times New Roman" w:hAnsi="Arial" w:cs="Arial"/>
                <w:b/>
                <w:i/>
                <w:sz w:val="14"/>
                <w:lang w:eastAsia="it-IT"/>
              </w:rPr>
              <w:t>Descrizione</w:t>
            </w:r>
          </w:p>
        </w:tc>
      </w:tr>
      <w:tr w:rsidR="0098714B" w:rsidRPr="0096480A" w14:paraId="5F59D930" w14:textId="77777777" w:rsidTr="001F2FF2">
        <w:trPr>
          <w:cantSplit/>
          <w:trHeight w:val="576"/>
        </w:trPr>
        <w:tc>
          <w:tcPr>
            <w:tcW w:w="8664" w:type="dxa"/>
            <w:vAlign w:val="center"/>
          </w:tcPr>
          <w:p w14:paraId="319940DB" w14:textId="33A15B1F" w:rsidR="0098714B" w:rsidRPr="0096480A" w:rsidRDefault="0096480A" w:rsidP="0098714B">
            <w:pPr>
              <w:spacing w:after="60"/>
              <w:ind w:right="-2"/>
              <w:jc w:val="both"/>
              <w:rPr>
                <w:rFonts w:ascii="Arial" w:eastAsia="Times New Roman" w:hAnsi="Arial" w:cs="Arial"/>
                <w:sz w:val="14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 xml:space="preserve">REV. 14/11/2023 – DEL. </w:t>
            </w:r>
            <w:proofErr w:type="spellStart"/>
            <w:r>
              <w:rPr>
                <w:rFonts w:ascii="Arial" w:eastAsia="Times New Roman" w:hAnsi="Arial" w:cs="Arial"/>
                <w:lang w:eastAsia="it-IT"/>
              </w:rPr>
              <w:t>CdA</w:t>
            </w:r>
            <w:proofErr w:type="spellEnd"/>
            <w:r>
              <w:rPr>
                <w:rFonts w:ascii="Arial" w:eastAsia="Times New Roman" w:hAnsi="Arial" w:cs="Arial"/>
                <w:lang w:eastAsia="it-IT"/>
              </w:rPr>
              <w:t xml:space="preserve"> N. 2</w:t>
            </w:r>
          </w:p>
        </w:tc>
      </w:tr>
    </w:tbl>
    <w:p w14:paraId="14EDF928" w14:textId="77777777" w:rsidR="0098714B" w:rsidRPr="0096480A" w:rsidRDefault="0098714B" w:rsidP="00EA3A78">
      <w:pPr>
        <w:jc w:val="both"/>
        <w:rPr>
          <w:rFonts w:ascii="Arial" w:hAnsi="Arial" w:cs="Arial"/>
        </w:rPr>
      </w:pPr>
    </w:p>
    <w:p w14:paraId="00E4AAF7" w14:textId="77777777" w:rsidR="006E7D5B" w:rsidRPr="0096480A" w:rsidRDefault="006E7D5B" w:rsidP="00EA3A78">
      <w:pPr>
        <w:jc w:val="both"/>
        <w:rPr>
          <w:rFonts w:ascii="Arial" w:hAnsi="Arial" w:cs="Arial"/>
        </w:rPr>
      </w:pPr>
    </w:p>
    <w:sectPr w:rsidR="006E7D5B" w:rsidRPr="009648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22463" w14:textId="77777777" w:rsidR="00DA0D30" w:rsidRDefault="00DA0D30" w:rsidP="00613ECC">
      <w:pPr>
        <w:spacing w:after="0" w:line="240" w:lineRule="auto"/>
      </w:pPr>
      <w:r>
        <w:separator/>
      </w:r>
    </w:p>
  </w:endnote>
  <w:endnote w:type="continuationSeparator" w:id="0">
    <w:p w14:paraId="57102C2E" w14:textId="77777777" w:rsidR="00DA0D30" w:rsidRDefault="00DA0D30" w:rsidP="00613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358D2" w14:textId="77777777" w:rsidR="00DA0D30" w:rsidRDefault="00DA0D30" w:rsidP="00613ECC">
      <w:pPr>
        <w:spacing w:after="0" w:line="240" w:lineRule="auto"/>
      </w:pPr>
      <w:r>
        <w:separator/>
      </w:r>
    </w:p>
  </w:footnote>
  <w:footnote w:type="continuationSeparator" w:id="0">
    <w:p w14:paraId="42DF9B42" w14:textId="77777777" w:rsidR="00DA0D30" w:rsidRDefault="00DA0D30" w:rsidP="00613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6252111"/>
    <w:multiLevelType w:val="hybridMultilevel"/>
    <w:tmpl w:val="3BD36F1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6F11E87"/>
    <w:multiLevelType w:val="hybridMultilevel"/>
    <w:tmpl w:val="994A56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57284F"/>
    <w:multiLevelType w:val="hybridMultilevel"/>
    <w:tmpl w:val="64C68E72"/>
    <w:lvl w:ilvl="0" w:tplc="82CC71B4">
      <w:start w:val="2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C2F01"/>
    <w:multiLevelType w:val="hybridMultilevel"/>
    <w:tmpl w:val="F6E0842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3D3D4F"/>
    <w:multiLevelType w:val="hybridMultilevel"/>
    <w:tmpl w:val="8EA23FD4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C70CF"/>
    <w:multiLevelType w:val="hybridMultilevel"/>
    <w:tmpl w:val="6EAAFD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AD3147"/>
    <w:multiLevelType w:val="hybridMultilevel"/>
    <w:tmpl w:val="374CDA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2310714">
    <w:abstractNumId w:val="5"/>
  </w:num>
  <w:num w:numId="2" w16cid:durableId="553348281">
    <w:abstractNumId w:val="0"/>
  </w:num>
  <w:num w:numId="3" w16cid:durableId="520122411">
    <w:abstractNumId w:val="6"/>
  </w:num>
  <w:num w:numId="4" w16cid:durableId="544683295">
    <w:abstractNumId w:val="3"/>
  </w:num>
  <w:num w:numId="5" w16cid:durableId="876283938">
    <w:abstractNumId w:val="1"/>
  </w:num>
  <w:num w:numId="6" w16cid:durableId="1480538314">
    <w:abstractNumId w:val="4"/>
  </w:num>
  <w:num w:numId="7" w16cid:durableId="3767067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D0E"/>
    <w:rsid w:val="00096F09"/>
    <w:rsid w:val="000C16A1"/>
    <w:rsid w:val="000E2CE0"/>
    <w:rsid w:val="000F06AB"/>
    <w:rsid w:val="001213A4"/>
    <w:rsid w:val="00125652"/>
    <w:rsid w:val="00182790"/>
    <w:rsid w:val="00194163"/>
    <w:rsid w:val="001971DA"/>
    <w:rsid w:val="001A00E4"/>
    <w:rsid w:val="001B6C09"/>
    <w:rsid w:val="001F633C"/>
    <w:rsid w:val="002143CA"/>
    <w:rsid w:val="00226C1B"/>
    <w:rsid w:val="0029421F"/>
    <w:rsid w:val="002B4F05"/>
    <w:rsid w:val="002C31E0"/>
    <w:rsid w:val="002D10D9"/>
    <w:rsid w:val="0032269B"/>
    <w:rsid w:val="00324E84"/>
    <w:rsid w:val="00342602"/>
    <w:rsid w:val="00385268"/>
    <w:rsid w:val="003B5D0E"/>
    <w:rsid w:val="003C1195"/>
    <w:rsid w:val="004022F6"/>
    <w:rsid w:val="00545408"/>
    <w:rsid w:val="0055795F"/>
    <w:rsid w:val="00613ECC"/>
    <w:rsid w:val="006A145A"/>
    <w:rsid w:val="006E7D5B"/>
    <w:rsid w:val="00705BF2"/>
    <w:rsid w:val="00755D18"/>
    <w:rsid w:val="00774769"/>
    <w:rsid w:val="008C7E16"/>
    <w:rsid w:val="009538D3"/>
    <w:rsid w:val="0096480A"/>
    <w:rsid w:val="0098714B"/>
    <w:rsid w:val="00991AD0"/>
    <w:rsid w:val="00A06E3C"/>
    <w:rsid w:val="00A8580A"/>
    <w:rsid w:val="00AA51B8"/>
    <w:rsid w:val="00B661E0"/>
    <w:rsid w:val="00B66A05"/>
    <w:rsid w:val="00BC626B"/>
    <w:rsid w:val="00BF40CC"/>
    <w:rsid w:val="00C13C05"/>
    <w:rsid w:val="00C47437"/>
    <w:rsid w:val="00C920C9"/>
    <w:rsid w:val="00D41C9D"/>
    <w:rsid w:val="00D54D86"/>
    <w:rsid w:val="00DA0D30"/>
    <w:rsid w:val="00DD3E3B"/>
    <w:rsid w:val="00E07402"/>
    <w:rsid w:val="00E44BD6"/>
    <w:rsid w:val="00EA3A78"/>
    <w:rsid w:val="00EC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2A2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B5D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B5D0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13E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3ECC"/>
  </w:style>
  <w:style w:type="paragraph" w:styleId="Pidipagina">
    <w:name w:val="footer"/>
    <w:basedOn w:val="Normale"/>
    <w:link w:val="PidipaginaCarattere"/>
    <w:uiPriority w:val="99"/>
    <w:unhideWhenUsed/>
    <w:rsid w:val="00613E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3ECC"/>
  </w:style>
  <w:style w:type="paragraph" w:styleId="NormaleWeb">
    <w:name w:val="Normal (Web)"/>
    <w:basedOn w:val="Normale"/>
    <w:uiPriority w:val="99"/>
    <w:unhideWhenUsed/>
    <w:rsid w:val="00197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esidenzacanevaro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2024-01-16T11:26:00Z</dcterms:created>
  <dcterms:modified xsi:type="dcterms:W3CDTF">2024-01-16T11:26:00Z</dcterms:modified>
</cp:coreProperties>
</file>