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B673B" w14:textId="77777777" w:rsidR="00F55A38" w:rsidRDefault="00F55A38" w:rsidP="00273A71">
      <w:pPr>
        <w:pStyle w:val="Default"/>
        <w:rPr>
          <w:sz w:val="40"/>
          <w:szCs w:val="40"/>
        </w:rPr>
      </w:pPr>
    </w:p>
    <w:p w14:paraId="68F5B3CB" w14:textId="77777777" w:rsidR="001620F9" w:rsidRPr="001620F9" w:rsidRDefault="001620F9" w:rsidP="001620F9">
      <w:pPr>
        <w:suppressAutoHyphens/>
        <w:autoSpaceDN w:val="0"/>
        <w:spacing w:after="120" w:line="240" w:lineRule="auto"/>
        <w:ind w:left="2832"/>
        <w:jc w:val="center"/>
        <w:textAlignment w:val="baseline"/>
        <w:rPr>
          <w:rFonts w:ascii="Calibri" w:eastAsia="Calibri" w:hAnsi="Calibri" w:cs="Times New Roman"/>
        </w:rPr>
      </w:pPr>
      <w:r w:rsidRPr="001620F9">
        <w:rPr>
          <w:rFonts w:ascii="Calibri" w:eastAsia="Calibri" w:hAnsi="Calibri" w:cs="Times New Roman"/>
          <w:b/>
          <w:noProof/>
          <w:sz w:val="24"/>
          <w:szCs w:val="24"/>
          <w:lang w:eastAsia="it-IT"/>
        </w:rPr>
        <w:drawing>
          <wp:anchor distT="0" distB="0" distL="114300" distR="114300" simplePos="0" relativeHeight="251659264" behindDoc="1" locked="0" layoutInCell="1" allowOverlap="1" wp14:anchorId="24A497ED" wp14:editId="596534F7">
            <wp:simplePos x="0" y="0"/>
            <wp:positionH relativeFrom="margin">
              <wp:posOffset>-329568</wp:posOffset>
            </wp:positionH>
            <wp:positionV relativeFrom="paragraph">
              <wp:posOffset>7616</wp:posOffset>
            </wp:positionV>
            <wp:extent cx="1638303" cy="971550"/>
            <wp:effectExtent l="0" t="0" r="0" b="0"/>
            <wp:wrapNone/>
            <wp:docPr id="1" name="Immagine 3" descr="acqua ok2o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1638303" cy="971550"/>
                    </a:xfrm>
                    <a:prstGeom prst="rect">
                      <a:avLst/>
                    </a:prstGeom>
                    <a:noFill/>
                    <a:ln>
                      <a:noFill/>
                      <a:prstDash/>
                    </a:ln>
                  </pic:spPr>
                </pic:pic>
              </a:graphicData>
            </a:graphic>
          </wp:anchor>
        </w:drawing>
      </w:r>
      <w:r w:rsidRPr="001620F9">
        <w:rPr>
          <w:rFonts w:ascii="Tahoma" w:eastAsia="Calibri" w:hAnsi="Tahoma" w:cs="Tahoma"/>
          <w:b/>
          <w:sz w:val="24"/>
          <w:szCs w:val="24"/>
        </w:rPr>
        <w:t>Residenza Conte Canevaro</w:t>
      </w:r>
    </w:p>
    <w:p w14:paraId="34FF555A" w14:textId="77777777" w:rsidR="001620F9" w:rsidRPr="001620F9" w:rsidRDefault="001620F9" w:rsidP="001620F9">
      <w:pPr>
        <w:suppressAutoHyphens/>
        <w:autoSpaceDN w:val="0"/>
        <w:spacing w:after="120" w:line="240" w:lineRule="auto"/>
        <w:ind w:left="2832"/>
        <w:jc w:val="center"/>
        <w:textAlignment w:val="baseline"/>
        <w:rPr>
          <w:rFonts w:ascii="Tahoma" w:eastAsia="Calibri" w:hAnsi="Tahoma" w:cs="Tahoma"/>
          <w:sz w:val="16"/>
          <w:szCs w:val="16"/>
        </w:rPr>
      </w:pPr>
      <w:r w:rsidRPr="001620F9">
        <w:rPr>
          <w:rFonts w:ascii="Tahoma" w:eastAsia="Calibri" w:hAnsi="Tahoma" w:cs="Tahoma"/>
          <w:sz w:val="16"/>
          <w:szCs w:val="16"/>
        </w:rPr>
        <w:t>Via Antica Romana 27</w:t>
      </w:r>
    </w:p>
    <w:p w14:paraId="427A3908" w14:textId="77777777" w:rsidR="001620F9" w:rsidRPr="001620F9" w:rsidRDefault="001620F9" w:rsidP="001620F9">
      <w:pPr>
        <w:suppressAutoHyphens/>
        <w:autoSpaceDN w:val="0"/>
        <w:spacing w:after="120" w:line="240" w:lineRule="auto"/>
        <w:ind w:left="2832"/>
        <w:jc w:val="center"/>
        <w:textAlignment w:val="baseline"/>
        <w:rPr>
          <w:rFonts w:ascii="Tahoma" w:eastAsia="Calibri" w:hAnsi="Tahoma" w:cs="Tahoma"/>
          <w:sz w:val="16"/>
          <w:szCs w:val="16"/>
        </w:rPr>
      </w:pPr>
      <w:r w:rsidRPr="001620F9">
        <w:rPr>
          <w:rFonts w:ascii="Tahoma" w:eastAsia="Calibri" w:hAnsi="Tahoma" w:cs="Tahoma"/>
          <w:sz w:val="16"/>
          <w:szCs w:val="16"/>
        </w:rPr>
        <w:t>16035 ZOAGLI</w:t>
      </w:r>
    </w:p>
    <w:p w14:paraId="65EAD1DA" w14:textId="77777777" w:rsidR="001620F9" w:rsidRPr="001620F9" w:rsidRDefault="001620F9" w:rsidP="001620F9">
      <w:pPr>
        <w:suppressAutoHyphens/>
        <w:autoSpaceDN w:val="0"/>
        <w:spacing w:after="120" w:line="240" w:lineRule="auto"/>
        <w:ind w:left="2832"/>
        <w:jc w:val="center"/>
        <w:textAlignment w:val="baseline"/>
        <w:rPr>
          <w:rFonts w:ascii="Tahoma" w:eastAsia="Calibri" w:hAnsi="Tahoma" w:cs="Tahoma"/>
          <w:sz w:val="16"/>
          <w:szCs w:val="16"/>
        </w:rPr>
      </w:pPr>
      <w:r w:rsidRPr="001620F9">
        <w:rPr>
          <w:rFonts w:ascii="Tahoma" w:eastAsia="Calibri" w:hAnsi="Tahoma" w:cs="Tahoma"/>
          <w:sz w:val="16"/>
          <w:szCs w:val="16"/>
        </w:rPr>
        <w:t>Tel. 0185259049 fax 0185250034</w:t>
      </w:r>
    </w:p>
    <w:p w14:paraId="7C819240" w14:textId="77777777" w:rsidR="001620F9" w:rsidRPr="001620F9" w:rsidRDefault="001620F9" w:rsidP="001620F9">
      <w:pPr>
        <w:suppressAutoHyphens/>
        <w:autoSpaceDN w:val="0"/>
        <w:spacing w:after="120" w:line="240" w:lineRule="auto"/>
        <w:ind w:left="2832"/>
        <w:jc w:val="center"/>
        <w:textAlignment w:val="baseline"/>
        <w:rPr>
          <w:rFonts w:ascii="Tahoma" w:eastAsia="Calibri" w:hAnsi="Tahoma" w:cs="Tahoma"/>
          <w:sz w:val="16"/>
          <w:szCs w:val="16"/>
        </w:rPr>
      </w:pPr>
      <w:r w:rsidRPr="001620F9">
        <w:rPr>
          <w:rFonts w:ascii="Tahoma" w:eastAsia="Calibri" w:hAnsi="Tahoma" w:cs="Tahoma"/>
          <w:sz w:val="16"/>
          <w:szCs w:val="16"/>
        </w:rPr>
        <w:t>CF. 83003590102</w:t>
      </w:r>
    </w:p>
    <w:p w14:paraId="11D49D56" w14:textId="77777777" w:rsidR="001620F9" w:rsidRPr="001620F9" w:rsidRDefault="001620F9" w:rsidP="001620F9">
      <w:pPr>
        <w:suppressAutoHyphens/>
        <w:autoSpaceDN w:val="0"/>
        <w:spacing w:after="120" w:line="240" w:lineRule="auto"/>
        <w:ind w:left="2832"/>
        <w:jc w:val="center"/>
        <w:textAlignment w:val="baseline"/>
        <w:rPr>
          <w:rFonts w:ascii="Calibri" w:eastAsia="Calibri" w:hAnsi="Calibri" w:cs="Times New Roman"/>
        </w:rPr>
      </w:pPr>
      <w:r w:rsidRPr="001620F9">
        <w:rPr>
          <w:rFonts w:ascii="Tahoma" w:eastAsia="Calibri" w:hAnsi="Tahoma" w:cs="Tahoma"/>
          <w:sz w:val="16"/>
          <w:szCs w:val="16"/>
        </w:rPr>
        <w:t xml:space="preserve">e-mail </w:t>
      </w:r>
      <w:hyperlink r:id="rId8" w:history="1">
        <w:r w:rsidRPr="001620F9">
          <w:rPr>
            <w:rFonts w:ascii="Tahoma" w:eastAsia="Calibri" w:hAnsi="Tahoma" w:cs="Tahoma"/>
            <w:color w:val="0000FF"/>
            <w:sz w:val="16"/>
            <w:szCs w:val="16"/>
            <w:u w:val="single"/>
          </w:rPr>
          <w:t>info@residenzacanevaro.com</w:t>
        </w:r>
      </w:hyperlink>
    </w:p>
    <w:p w14:paraId="059C9D8A" w14:textId="77777777" w:rsidR="001620F9" w:rsidRDefault="001620F9" w:rsidP="001620F9">
      <w:pPr>
        <w:pStyle w:val="Default"/>
        <w:rPr>
          <w:sz w:val="40"/>
          <w:szCs w:val="40"/>
        </w:rPr>
      </w:pPr>
    </w:p>
    <w:p w14:paraId="6BD76065" w14:textId="3D266926" w:rsidR="00200D1C" w:rsidRDefault="00200D1C" w:rsidP="00200D1C">
      <w:pPr>
        <w:pStyle w:val="Default"/>
        <w:jc w:val="center"/>
        <w:rPr>
          <w:sz w:val="40"/>
          <w:szCs w:val="40"/>
        </w:rPr>
      </w:pPr>
      <w:r>
        <w:rPr>
          <w:sz w:val="40"/>
          <w:szCs w:val="40"/>
        </w:rPr>
        <w:t>PROTOCOLLO 2:</w:t>
      </w:r>
    </w:p>
    <w:p w14:paraId="409A0451" w14:textId="53724D8D" w:rsidR="00200D1C" w:rsidRDefault="00200D1C" w:rsidP="00200D1C">
      <w:pPr>
        <w:pStyle w:val="Default"/>
        <w:jc w:val="center"/>
        <w:rPr>
          <w:sz w:val="40"/>
          <w:szCs w:val="40"/>
        </w:rPr>
      </w:pPr>
      <w:r>
        <w:rPr>
          <w:sz w:val="40"/>
          <w:szCs w:val="40"/>
        </w:rPr>
        <w:t>GESTIONE DEI FLUSSI FINANZIARI</w:t>
      </w:r>
      <w:r w:rsidR="007D1018">
        <w:rPr>
          <w:sz w:val="40"/>
          <w:szCs w:val="40"/>
        </w:rPr>
        <w:t xml:space="preserve"> </w:t>
      </w:r>
    </w:p>
    <w:p w14:paraId="6FA47A8E" w14:textId="77777777" w:rsidR="00200D1C" w:rsidRDefault="00200D1C" w:rsidP="00200D1C">
      <w:pPr>
        <w:pStyle w:val="Default"/>
        <w:rPr>
          <w:sz w:val="28"/>
          <w:szCs w:val="28"/>
        </w:rPr>
      </w:pPr>
    </w:p>
    <w:p w14:paraId="13FE7F57" w14:textId="77777777" w:rsidR="00200D1C" w:rsidRPr="00682681" w:rsidRDefault="00200D1C" w:rsidP="00200D1C">
      <w:pPr>
        <w:pStyle w:val="Default"/>
        <w:rPr>
          <w:sz w:val="20"/>
          <w:szCs w:val="20"/>
        </w:rPr>
      </w:pPr>
      <w:r w:rsidRPr="00682681">
        <w:rPr>
          <w:sz w:val="20"/>
          <w:szCs w:val="20"/>
        </w:rPr>
        <w:t xml:space="preserve">INDICE: </w:t>
      </w:r>
    </w:p>
    <w:p w14:paraId="2567F9DC" w14:textId="77777777" w:rsidR="00200D1C" w:rsidRPr="00682681" w:rsidRDefault="00200D1C" w:rsidP="00200D1C">
      <w:pPr>
        <w:pStyle w:val="Default"/>
        <w:rPr>
          <w:sz w:val="20"/>
          <w:szCs w:val="20"/>
        </w:rPr>
      </w:pPr>
    </w:p>
    <w:p w14:paraId="20E92AD1" w14:textId="77777777" w:rsidR="00200D1C" w:rsidRPr="00682681" w:rsidRDefault="00200D1C" w:rsidP="00200D1C">
      <w:pPr>
        <w:pStyle w:val="Default"/>
        <w:rPr>
          <w:sz w:val="20"/>
          <w:szCs w:val="20"/>
        </w:rPr>
      </w:pPr>
      <w:r w:rsidRPr="00682681">
        <w:rPr>
          <w:sz w:val="20"/>
          <w:szCs w:val="20"/>
        </w:rPr>
        <w:t xml:space="preserve">1. OBIETTIVI </w:t>
      </w:r>
    </w:p>
    <w:p w14:paraId="2C1C48C0" w14:textId="77777777" w:rsidR="00200D1C" w:rsidRPr="00682681" w:rsidRDefault="00200D1C" w:rsidP="00200D1C">
      <w:pPr>
        <w:pStyle w:val="Default"/>
        <w:rPr>
          <w:sz w:val="20"/>
          <w:szCs w:val="20"/>
        </w:rPr>
      </w:pPr>
      <w:r w:rsidRPr="00682681">
        <w:rPr>
          <w:sz w:val="20"/>
          <w:szCs w:val="20"/>
        </w:rPr>
        <w:t xml:space="preserve">2. DESTINATARI </w:t>
      </w:r>
    </w:p>
    <w:p w14:paraId="541FC9C3" w14:textId="77777777" w:rsidR="00200D1C" w:rsidRPr="00682681" w:rsidRDefault="00200D1C" w:rsidP="00200D1C">
      <w:pPr>
        <w:pStyle w:val="Default"/>
        <w:rPr>
          <w:sz w:val="20"/>
          <w:szCs w:val="20"/>
        </w:rPr>
      </w:pPr>
      <w:r w:rsidRPr="00682681">
        <w:rPr>
          <w:sz w:val="20"/>
          <w:szCs w:val="20"/>
        </w:rPr>
        <w:t xml:space="preserve">3. PROCESSI AZIENDALI COINVOLTI </w:t>
      </w:r>
    </w:p>
    <w:p w14:paraId="628C19C6" w14:textId="3905F487" w:rsidR="00200D1C" w:rsidRPr="00682681" w:rsidRDefault="00200D1C" w:rsidP="00200D1C">
      <w:pPr>
        <w:pStyle w:val="Default"/>
        <w:rPr>
          <w:sz w:val="20"/>
          <w:szCs w:val="20"/>
        </w:rPr>
      </w:pPr>
      <w:r w:rsidRPr="00682681">
        <w:rPr>
          <w:sz w:val="20"/>
          <w:szCs w:val="20"/>
        </w:rPr>
        <w:t xml:space="preserve">4. </w:t>
      </w:r>
      <w:r w:rsidR="009D1F96" w:rsidRPr="00AF3E67">
        <w:rPr>
          <w:color w:val="auto"/>
          <w:sz w:val="20"/>
          <w:szCs w:val="20"/>
        </w:rPr>
        <w:t xml:space="preserve">PRINCIPI GENERALI E </w:t>
      </w:r>
      <w:r w:rsidRPr="00682681">
        <w:rPr>
          <w:sz w:val="20"/>
          <w:szCs w:val="20"/>
        </w:rPr>
        <w:t xml:space="preserve">DOCUMENTAZIONE INTEGRATIVA </w:t>
      </w:r>
    </w:p>
    <w:p w14:paraId="33C5BC43" w14:textId="77777777" w:rsidR="00200D1C" w:rsidRPr="00682681" w:rsidRDefault="00200D1C" w:rsidP="00200D1C">
      <w:pPr>
        <w:pStyle w:val="Default"/>
        <w:rPr>
          <w:sz w:val="20"/>
          <w:szCs w:val="20"/>
        </w:rPr>
      </w:pPr>
      <w:r w:rsidRPr="00682681">
        <w:rPr>
          <w:sz w:val="20"/>
          <w:szCs w:val="20"/>
        </w:rPr>
        <w:t xml:space="preserve">5. PROCEDURE DA APPLICARE </w:t>
      </w:r>
    </w:p>
    <w:p w14:paraId="43D42F6E" w14:textId="77777777" w:rsidR="00200D1C" w:rsidRPr="00682681" w:rsidRDefault="00200D1C" w:rsidP="00200D1C">
      <w:pPr>
        <w:pStyle w:val="Default"/>
        <w:rPr>
          <w:sz w:val="20"/>
          <w:szCs w:val="20"/>
        </w:rPr>
      </w:pPr>
      <w:r w:rsidRPr="00682681">
        <w:rPr>
          <w:sz w:val="20"/>
          <w:szCs w:val="20"/>
        </w:rPr>
        <w:t xml:space="preserve">6. ATTIVITÀ DELL’ODV </w:t>
      </w:r>
    </w:p>
    <w:p w14:paraId="3E2C67AD" w14:textId="77777777" w:rsidR="00200D1C" w:rsidRPr="00682681" w:rsidRDefault="00200D1C" w:rsidP="00200D1C">
      <w:pPr>
        <w:pStyle w:val="Default"/>
        <w:rPr>
          <w:sz w:val="20"/>
          <w:szCs w:val="20"/>
        </w:rPr>
      </w:pPr>
      <w:r w:rsidRPr="00682681">
        <w:rPr>
          <w:sz w:val="20"/>
          <w:szCs w:val="20"/>
        </w:rPr>
        <w:t xml:space="preserve">7. DISPOSIZIONI FINALI </w:t>
      </w:r>
    </w:p>
    <w:p w14:paraId="48923416" w14:textId="77777777" w:rsidR="00200D1C" w:rsidRDefault="00200D1C" w:rsidP="00200D1C">
      <w:pPr>
        <w:pStyle w:val="Default"/>
        <w:rPr>
          <w:b/>
          <w:bCs/>
          <w:sz w:val="22"/>
          <w:szCs w:val="22"/>
        </w:rPr>
      </w:pPr>
    </w:p>
    <w:p w14:paraId="2BE4FA79" w14:textId="77777777" w:rsidR="00200D1C" w:rsidRDefault="00200D1C" w:rsidP="00200D1C">
      <w:pPr>
        <w:pStyle w:val="Default"/>
        <w:numPr>
          <w:ilvl w:val="0"/>
          <w:numId w:val="1"/>
        </w:numPr>
        <w:rPr>
          <w:b/>
          <w:bCs/>
          <w:sz w:val="22"/>
          <w:szCs w:val="22"/>
        </w:rPr>
      </w:pPr>
      <w:r>
        <w:rPr>
          <w:b/>
          <w:bCs/>
          <w:sz w:val="22"/>
          <w:szCs w:val="22"/>
        </w:rPr>
        <w:t xml:space="preserve">Obiettivi </w:t>
      </w:r>
    </w:p>
    <w:p w14:paraId="0A69BC91" w14:textId="77777777" w:rsidR="00200D1C" w:rsidRDefault="00200D1C" w:rsidP="00200D1C">
      <w:pPr>
        <w:pStyle w:val="Default"/>
        <w:ind w:left="720"/>
        <w:rPr>
          <w:sz w:val="22"/>
          <w:szCs w:val="22"/>
        </w:rPr>
      </w:pPr>
    </w:p>
    <w:p w14:paraId="1573BA87" w14:textId="4A916286" w:rsidR="00200D1C" w:rsidRPr="004829E3" w:rsidRDefault="00200D1C" w:rsidP="00F55A38">
      <w:pPr>
        <w:pStyle w:val="Default"/>
        <w:jc w:val="both"/>
        <w:rPr>
          <w:color w:val="auto"/>
          <w:sz w:val="22"/>
          <w:szCs w:val="22"/>
        </w:rPr>
      </w:pPr>
      <w:r w:rsidRPr="004829E3">
        <w:rPr>
          <w:color w:val="auto"/>
          <w:sz w:val="22"/>
          <w:szCs w:val="22"/>
        </w:rPr>
        <w:t xml:space="preserve">Il presente protocollo ha l’obiettivo di definire ruoli e responsabilità in relazione alla Gestione dei </w:t>
      </w:r>
      <w:r w:rsidR="00E61FE3" w:rsidRPr="004829E3">
        <w:rPr>
          <w:color w:val="auto"/>
          <w:sz w:val="22"/>
          <w:szCs w:val="22"/>
        </w:rPr>
        <w:t>f</w:t>
      </w:r>
      <w:r w:rsidRPr="004829E3">
        <w:rPr>
          <w:color w:val="auto"/>
          <w:sz w:val="22"/>
          <w:szCs w:val="22"/>
        </w:rPr>
        <w:t xml:space="preserve">lussi </w:t>
      </w:r>
      <w:r w:rsidR="00E61FE3" w:rsidRPr="004829E3">
        <w:rPr>
          <w:color w:val="auto"/>
          <w:sz w:val="22"/>
          <w:szCs w:val="22"/>
        </w:rPr>
        <w:t>f</w:t>
      </w:r>
      <w:r w:rsidRPr="004829E3">
        <w:rPr>
          <w:color w:val="auto"/>
          <w:sz w:val="22"/>
          <w:szCs w:val="22"/>
        </w:rPr>
        <w:t>inanziari</w:t>
      </w:r>
      <w:r w:rsidR="00090740" w:rsidRPr="004829E3">
        <w:rPr>
          <w:color w:val="auto"/>
          <w:sz w:val="22"/>
          <w:szCs w:val="22"/>
        </w:rPr>
        <w:t xml:space="preserve"> </w:t>
      </w:r>
      <w:r w:rsidRPr="004829E3">
        <w:rPr>
          <w:color w:val="auto"/>
          <w:sz w:val="22"/>
          <w:szCs w:val="22"/>
        </w:rPr>
        <w:t xml:space="preserve">al fine di prevenire, nell’esecuzione di tale attività, la commissione degli illeciti previsti dal </w:t>
      </w:r>
      <w:proofErr w:type="spellStart"/>
      <w:r w:rsidRPr="004829E3">
        <w:rPr>
          <w:color w:val="auto"/>
          <w:sz w:val="22"/>
          <w:szCs w:val="22"/>
        </w:rPr>
        <w:t>D.Lgs.</w:t>
      </w:r>
      <w:proofErr w:type="spellEnd"/>
      <w:r w:rsidRPr="004829E3">
        <w:rPr>
          <w:color w:val="auto"/>
          <w:sz w:val="22"/>
          <w:szCs w:val="22"/>
        </w:rPr>
        <w:t xml:space="preserve"> 231/2001. </w:t>
      </w:r>
    </w:p>
    <w:p w14:paraId="13C79B32" w14:textId="77777777" w:rsidR="00200D1C" w:rsidRPr="004829E3" w:rsidRDefault="00200D1C" w:rsidP="00F55A38">
      <w:pPr>
        <w:pStyle w:val="Default"/>
        <w:jc w:val="both"/>
        <w:rPr>
          <w:color w:val="auto"/>
          <w:sz w:val="22"/>
          <w:szCs w:val="22"/>
        </w:rPr>
      </w:pPr>
      <w:r w:rsidRPr="004829E3">
        <w:rPr>
          <w:color w:val="auto"/>
          <w:sz w:val="22"/>
          <w:szCs w:val="22"/>
        </w:rPr>
        <w:t xml:space="preserve">In particolare, il presente protocollo intende prevenire il verificarsi delle fattispecie di reato previste nei seguenti articoli del </w:t>
      </w:r>
      <w:proofErr w:type="spellStart"/>
      <w:r w:rsidRPr="004829E3">
        <w:rPr>
          <w:color w:val="auto"/>
          <w:sz w:val="22"/>
          <w:szCs w:val="22"/>
        </w:rPr>
        <w:t>D.Lgs.</w:t>
      </w:r>
      <w:proofErr w:type="spellEnd"/>
      <w:r w:rsidRPr="004829E3">
        <w:rPr>
          <w:color w:val="auto"/>
          <w:sz w:val="22"/>
          <w:szCs w:val="22"/>
        </w:rPr>
        <w:t xml:space="preserve"> 231/01 (a titolo riassuntivo, rimandandosi per l’analisi dettagliata alla parte speciale del presente MOG): </w:t>
      </w:r>
    </w:p>
    <w:p w14:paraId="6B9991F2" w14:textId="77777777" w:rsidR="00200D1C" w:rsidRPr="004829E3" w:rsidRDefault="00200D1C" w:rsidP="00200D1C">
      <w:pPr>
        <w:pStyle w:val="Default"/>
        <w:rPr>
          <w:color w:val="auto"/>
          <w:sz w:val="22"/>
          <w:szCs w:val="22"/>
        </w:rPr>
      </w:pPr>
    </w:p>
    <w:p w14:paraId="7D80E75F" w14:textId="77777777" w:rsidR="00200D1C" w:rsidRPr="004829E3" w:rsidRDefault="00200D1C" w:rsidP="00200D1C">
      <w:pPr>
        <w:pStyle w:val="Default"/>
        <w:jc w:val="both"/>
        <w:rPr>
          <w:color w:val="auto"/>
          <w:sz w:val="22"/>
          <w:szCs w:val="22"/>
        </w:rPr>
      </w:pPr>
    </w:p>
    <w:p w14:paraId="50550B18" w14:textId="5628FA51" w:rsidR="00265B33" w:rsidRPr="004829E3" w:rsidRDefault="003B139A" w:rsidP="00265B33">
      <w:pPr>
        <w:shd w:val="clear" w:color="auto" w:fill="FFFFFF"/>
        <w:spacing w:after="0"/>
        <w:jc w:val="both"/>
        <w:textAlignment w:val="baseline"/>
        <w:rPr>
          <w:rFonts w:ascii="Arial" w:hAnsi="Arial" w:cs="Arial"/>
        </w:rPr>
      </w:pPr>
      <w:r w:rsidRPr="004829E3">
        <w:rPr>
          <w:rFonts w:ascii="Arial" w:eastAsia="Times New Roman" w:hAnsi="Arial" w:cs="Arial"/>
          <w:bdr w:val="none" w:sz="0" w:space="0" w:color="auto" w:frame="1"/>
          <w:lang w:eastAsia="it-IT"/>
        </w:rPr>
        <w:t xml:space="preserve">- </w:t>
      </w:r>
      <w:r w:rsidR="00265B33" w:rsidRPr="004829E3">
        <w:rPr>
          <w:rFonts w:ascii="Arial" w:eastAsia="Times New Roman" w:hAnsi="Arial" w:cs="Arial"/>
          <w:bdr w:val="none" w:sz="0" w:space="0" w:color="auto" w:frame="1"/>
          <w:lang w:eastAsia="it-IT"/>
        </w:rPr>
        <w:t>Indebita percezione di erogazioni, truffa in danno dello Stato, di un ente pubblico o dell’Unione europea o per il conseguimento di erogazioni pubbliche, frode informatica in danno dello Stato</w:t>
      </w:r>
      <w:r w:rsidR="00265B33" w:rsidRPr="004829E3">
        <w:rPr>
          <w:rFonts w:ascii="Arial" w:eastAsia="Times New Roman" w:hAnsi="Arial" w:cs="Arial"/>
          <w:lang w:eastAsia="it-IT"/>
        </w:rPr>
        <w:t xml:space="preserve"> </w:t>
      </w:r>
      <w:r w:rsidR="00265B33" w:rsidRPr="004829E3">
        <w:rPr>
          <w:rFonts w:ascii="Arial" w:eastAsia="Times New Roman" w:hAnsi="Arial" w:cs="Arial"/>
          <w:bdr w:val="none" w:sz="0" w:space="0" w:color="auto" w:frame="1"/>
          <w:lang w:eastAsia="it-IT"/>
        </w:rPr>
        <w:t>o di un ente pubblico e frode nelle pubbliche forniture</w:t>
      </w:r>
      <w:r w:rsidR="00265B33" w:rsidRPr="004829E3">
        <w:rPr>
          <w:rFonts w:ascii="Arial" w:eastAsia="Times New Roman" w:hAnsi="Arial" w:cs="Arial"/>
          <w:i/>
          <w:iCs/>
          <w:bdr w:val="none" w:sz="0" w:space="0" w:color="auto" w:frame="1"/>
          <w:lang w:eastAsia="it-IT"/>
        </w:rPr>
        <w:t xml:space="preserve"> </w:t>
      </w:r>
      <w:r w:rsidR="00265B33" w:rsidRPr="004829E3">
        <w:rPr>
          <w:rFonts w:ascii="Arial" w:hAnsi="Arial" w:cs="Arial"/>
        </w:rPr>
        <w:t xml:space="preserve">(art. 24 </w:t>
      </w:r>
      <w:proofErr w:type="spellStart"/>
      <w:r w:rsidR="00265B33" w:rsidRPr="004829E3">
        <w:rPr>
          <w:rFonts w:ascii="Arial" w:hAnsi="Arial" w:cs="Arial"/>
        </w:rPr>
        <w:t>D.Lgs.</w:t>
      </w:r>
      <w:proofErr w:type="spellEnd"/>
      <w:r w:rsidR="00265B33" w:rsidRPr="004829E3">
        <w:rPr>
          <w:rFonts w:ascii="Arial" w:hAnsi="Arial" w:cs="Arial"/>
        </w:rPr>
        <w:t xml:space="preserve"> 231/01);</w:t>
      </w:r>
    </w:p>
    <w:p w14:paraId="3FB9A754" w14:textId="06B7A1D4" w:rsidR="00265B33" w:rsidRPr="004829E3" w:rsidRDefault="00265B33" w:rsidP="00265B33">
      <w:pPr>
        <w:shd w:val="clear" w:color="auto" w:fill="FFFFFF"/>
        <w:spacing w:after="0"/>
        <w:jc w:val="both"/>
        <w:textAlignment w:val="baseline"/>
        <w:rPr>
          <w:rFonts w:ascii="Arial" w:eastAsia="Times New Roman" w:hAnsi="Arial" w:cs="Arial"/>
          <w:lang w:eastAsia="it-IT"/>
        </w:rPr>
      </w:pPr>
      <w:r w:rsidRPr="004829E3">
        <w:rPr>
          <w:rFonts w:ascii="Arial" w:hAnsi="Arial" w:cs="Arial"/>
        </w:rPr>
        <w:t xml:space="preserve">-  </w:t>
      </w:r>
      <w:r w:rsidRPr="004829E3">
        <w:rPr>
          <w:rFonts w:ascii="Arial" w:hAnsi="Arial" w:cs="Arial"/>
          <w:shd w:val="clear" w:color="auto" w:fill="FFFFFF"/>
        </w:rPr>
        <w:t xml:space="preserve">Peculato, concussione, induzione indebita a dare o promettere </w:t>
      </w:r>
      <w:proofErr w:type="spellStart"/>
      <w:r w:rsidRPr="004829E3">
        <w:rPr>
          <w:rFonts w:ascii="Arial" w:hAnsi="Arial" w:cs="Arial"/>
          <w:shd w:val="clear" w:color="auto" w:fill="FFFFFF"/>
        </w:rPr>
        <w:t>utilita</w:t>
      </w:r>
      <w:proofErr w:type="spellEnd"/>
      <w:r w:rsidRPr="004829E3">
        <w:rPr>
          <w:rFonts w:ascii="Arial" w:hAnsi="Arial" w:cs="Arial"/>
          <w:shd w:val="clear" w:color="auto" w:fill="FFFFFF"/>
        </w:rPr>
        <w:t>̀,</w:t>
      </w:r>
      <w:r w:rsidRPr="004829E3">
        <w:rPr>
          <w:rFonts w:ascii="Arial" w:hAnsi="Arial" w:cs="Arial"/>
        </w:rPr>
        <w:t xml:space="preserve"> </w:t>
      </w:r>
      <w:r w:rsidRPr="004829E3">
        <w:rPr>
          <w:rFonts w:ascii="Arial" w:hAnsi="Arial" w:cs="Arial"/>
          <w:shd w:val="clear" w:color="auto" w:fill="FFFFFF"/>
        </w:rPr>
        <w:t>corruzione e abuso d’ufficio</w:t>
      </w:r>
      <w:r w:rsidRPr="004829E3">
        <w:rPr>
          <w:rFonts w:ascii="Arial" w:hAnsi="Arial" w:cs="Arial"/>
        </w:rPr>
        <w:t xml:space="preserve"> (art. 25 </w:t>
      </w:r>
      <w:proofErr w:type="spellStart"/>
      <w:r w:rsidRPr="004829E3">
        <w:rPr>
          <w:rFonts w:ascii="Arial" w:hAnsi="Arial" w:cs="Arial"/>
        </w:rPr>
        <w:t>D.Lgs.</w:t>
      </w:r>
      <w:proofErr w:type="spellEnd"/>
      <w:r w:rsidRPr="004829E3">
        <w:rPr>
          <w:rFonts w:ascii="Arial" w:hAnsi="Arial" w:cs="Arial"/>
        </w:rPr>
        <w:t xml:space="preserve"> 231/01);</w:t>
      </w:r>
    </w:p>
    <w:p w14:paraId="6B53F096" w14:textId="12F0ECD0" w:rsidR="00200D1C" w:rsidRPr="004829E3" w:rsidRDefault="00200D1C" w:rsidP="00200D1C">
      <w:pPr>
        <w:pStyle w:val="Default"/>
        <w:jc w:val="both"/>
        <w:rPr>
          <w:color w:val="auto"/>
          <w:sz w:val="22"/>
          <w:szCs w:val="22"/>
        </w:rPr>
      </w:pPr>
      <w:r w:rsidRPr="004829E3">
        <w:rPr>
          <w:color w:val="auto"/>
          <w:sz w:val="22"/>
          <w:szCs w:val="22"/>
        </w:rPr>
        <w:t xml:space="preserve">- art. 2635 comma 3° c.c. – corruzione tra privati e art. 2635 bis c.c. - istigazione alla corruzione tra privati (art. 25 ter </w:t>
      </w:r>
      <w:proofErr w:type="spellStart"/>
      <w:r w:rsidRPr="004829E3">
        <w:rPr>
          <w:color w:val="auto"/>
          <w:sz w:val="22"/>
          <w:szCs w:val="22"/>
        </w:rPr>
        <w:t>D.Lgs.</w:t>
      </w:r>
      <w:proofErr w:type="spellEnd"/>
      <w:r w:rsidRPr="004829E3">
        <w:rPr>
          <w:color w:val="auto"/>
          <w:sz w:val="22"/>
          <w:szCs w:val="22"/>
        </w:rPr>
        <w:t xml:space="preserve"> 231/01); </w:t>
      </w:r>
    </w:p>
    <w:p w14:paraId="0E419651" w14:textId="77777777" w:rsidR="00200D1C" w:rsidRPr="004829E3" w:rsidRDefault="00200D1C" w:rsidP="00200D1C">
      <w:pPr>
        <w:pStyle w:val="Default"/>
        <w:jc w:val="both"/>
        <w:rPr>
          <w:color w:val="auto"/>
          <w:sz w:val="22"/>
          <w:szCs w:val="22"/>
        </w:rPr>
      </w:pPr>
      <w:r w:rsidRPr="004829E3">
        <w:rPr>
          <w:color w:val="auto"/>
          <w:sz w:val="22"/>
          <w:szCs w:val="22"/>
        </w:rPr>
        <w:t xml:space="preserve">- ricettazione, riciclaggio e impiego di denaro, beni o utilità di provenienza illecita, nonché autoriciclaggio (art. 25 </w:t>
      </w:r>
      <w:proofErr w:type="spellStart"/>
      <w:r w:rsidRPr="004829E3">
        <w:rPr>
          <w:color w:val="auto"/>
          <w:sz w:val="22"/>
          <w:szCs w:val="22"/>
        </w:rPr>
        <w:t>octies</w:t>
      </w:r>
      <w:proofErr w:type="spellEnd"/>
      <w:r w:rsidRPr="004829E3">
        <w:rPr>
          <w:color w:val="auto"/>
          <w:sz w:val="22"/>
          <w:szCs w:val="22"/>
        </w:rPr>
        <w:t xml:space="preserve"> </w:t>
      </w:r>
      <w:proofErr w:type="spellStart"/>
      <w:r w:rsidRPr="004829E3">
        <w:rPr>
          <w:color w:val="auto"/>
          <w:sz w:val="22"/>
          <w:szCs w:val="22"/>
        </w:rPr>
        <w:t>D.Lgs.</w:t>
      </w:r>
      <w:proofErr w:type="spellEnd"/>
      <w:r w:rsidRPr="004829E3">
        <w:rPr>
          <w:color w:val="auto"/>
          <w:sz w:val="22"/>
          <w:szCs w:val="22"/>
        </w:rPr>
        <w:t xml:space="preserve"> 231/01). Con l’entrata in vigore del reato di autoriciclaggio (art. 648 ter.1 c.p. come richiamato dall’art. 25 </w:t>
      </w:r>
      <w:proofErr w:type="spellStart"/>
      <w:r w:rsidRPr="004829E3">
        <w:rPr>
          <w:color w:val="auto"/>
          <w:sz w:val="22"/>
          <w:szCs w:val="22"/>
        </w:rPr>
        <w:t>octies</w:t>
      </w:r>
      <w:proofErr w:type="spellEnd"/>
      <w:r w:rsidRPr="004829E3">
        <w:rPr>
          <w:color w:val="auto"/>
          <w:sz w:val="22"/>
          <w:szCs w:val="22"/>
        </w:rPr>
        <w:t xml:space="preserve"> </w:t>
      </w:r>
      <w:proofErr w:type="spellStart"/>
      <w:r w:rsidRPr="004829E3">
        <w:rPr>
          <w:color w:val="auto"/>
          <w:sz w:val="22"/>
          <w:szCs w:val="22"/>
        </w:rPr>
        <w:t>D.Lgs.</w:t>
      </w:r>
      <w:proofErr w:type="spellEnd"/>
      <w:r w:rsidRPr="004829E3">
        <w:rPr>
          <w:color w:val="auto"/>
          <w:sz w:val="22"/>
          <w:szCs w:val="22"/>
        </w:rPr>
        <w:t xml:space="preserve"> 231/01), la presente procedura è anche diretta a prevenire il riutilizzo di denaro, beni o altre utilità derivanti dalla commissione dei reati di cui ai punti che precedono ovvero degli altri delitti di natura non colposa non presenti nell’elenco di cui al </w:t>
      </w:r>
      <w:proofErr w:type="spellStart"/>
      <w:r w:rsidRPr="004829E3">
        <w:rPr>
          <w:color w:val="auto"/>
          <w:sz w:val="22"/>
          <w:szCs w:val="22"/>
        </w:rPr>
        <w:t>D.Lgs.</w:t>
      </w:r>
      <w:proofErr w:type="spellEnd"/>
      <w:r w:rsidRPr="004829E3">
        <w:rPr>
          <w:color w:val="auto"/>
          <w:sz w:val="22"/>
          <w:szCs w:val="22"/>
        </w:rPr>
        <w:t xml:space="preserve"> 231/01; </w:t>
      </w:r>
    </w:p>
    <w:p w14:paraId="05306397" w14:textId="77777777" w:rsidR="00200D1C" w:rsidRPr="004829E3" w:rsidRDefault="00200D1C" w:rsidP="00200D1C">
      <w:pPr>
        <w:pStyle w:val="Default"/>
        <w:jc w:val="both"/>
        <w:rPr>
          <w:color w:val="auto"/>
          <w:sz w:val="22"/>
          <w:szCs w:val="22"/>
        </w:rPr>
      </w:pPr>
      <w:r w:rsidRPr="004829E3">
        <w:rPr>
          <w:color w:val="auto"/>
          <w:sz w:val="22"/>
          <w:szCs w:val="22"/>
        </w:rPr>
        <w:t xml:space="preserve">- induzione a non rendere dichiarazioni o a rendere dichiarazioni mendaci all’autorità giudiziaria (art. 25 </w:t>
      </w:r>
      <w:proofErr w:type="spellStart"/>
      <w:r w:rsidRPr="004829E3">
        <w:rPr>
          <w:color w:val="auto"/>
          <w:sz w:val="22"/>
          <w:szCs w:val="22"/>
        </w:rPr>
        <w:t>decies</w:t>
      </w:r>
      <w:proofErr w:type="spellEnd"/>
      <w:r w:rsidRPr="004829E3">
        <w:rPr>
          <w:color w:val="auto"/>
          <w:sz w:val="22"/>
          <w:szCs w:val="22"/>
        </w:rPr>
        <w:t xml:space="preserve"> </w:t>
      </w:r>
      <w:proofErr w:type="spellStart"/>
      <w:r w:rsidRPr="004829E3">
        <w:rPr>
          <w:color w:val="auto"/>
          <w:sz w:val="22"/>
          <w:szCs w:val="22"/>
        </w:rPr>
        <w:t>D.Lgs.</w:t>
      </w:r>
      <w:proofErr w:type="spellEnd"/>
      <w:r w:rsidRPr="004829E3">
        <w:rPr>
          <w:color w:val="auto"/>
          <w:sz w:val="22"/>
          <w:szCs w:val="22"/>
        </w:rPr>
        <w:t xml:space="preserve"> 231/01); </w:t>
      </w:r>
    </w:p>
    <w:p w14:paraId="2C695A3E" w14:textId="1E899A81" w:rsidR="00C17B6B" w:rsidRPr="004829E3" w:rsidRDefault="00200D1C" w:rsidP="00146132">
      <w:pPr>
        <w:spacing w:after="0"/>
        <w:jc w:val="both"/>
        <w:rPr>
          <w:rFonts w:ascii="Arial" w:hAnsi="Arial" w:cs="Arial"/>
        </w:rPr>
      </w:pPr>
      <w:r w:rsidRPr="004829E3">
        <w:rPr>
          <w:rFonts w:ascii="Arial" w:hAnsi="Arial" w:cs="Arial"/>
        </w:rPr>
        <w:t>- art. 25 bis D.lgs. 231/2001 “falsità in monete, in carte di pubblico credito, in valori di bollo e in strumenti o segni di riconoscimento;</w:t>
      </w:r>
    </w:p>
    <w:p w14:paraId="54915A31" w14:textId="183EC431" w:rsidR="00C36CFD" w:rsidRPr="004829E3" w:rsidRDefault="00C36CFD" w:rsidP="00146132">
      <w:pPr>
        <w:spacing w:after="0"/>
        <w:jc w:val="both"/>
        <w:rPr>
          <w:rFonts w:ascii="Arial" w:hAnsi="Arial" w:cs="Arial"/>
        </w:rPr>
      </w:pPr>
      <w:r w:rsidRPr="004829E3">
        <w:rPr>
          <w:rFonts w:ascii="Arial" w:hAnsi="Arial" w:cs="Arial"/>
        </w:rPr>
        <w:t>-</w:t>
      </w:r>
      <w:r w:rsidR="00831089" w:rsidRPr="004829E3">
        <w:rPr>
          <w:rFonts w:ascii="Arial" w:hAnsi="Arial" w:cs="Arial"/>
        </w:rPr>
        <w:t xml:space="preserve"> art. 25 octies.1 D.lgs. 231/2001 “Delitti in materia di strumenti di pagamento diversi dal contante”.</w:t>
      </w:r>
    </w:p>
    <w:p w14:paraId="3EE06C68" w14:textId="25675B41" w:rsidR="00146132" w:rsidRPr="004829E3" w:rsidRDefault="00146132" w:rsidP="00146132">
      <w:pPr>
        <w:keepNext/>
        <w:keepLines/>
        <w:spacing w:after="0" w:line="254" w:lineRule="auto"/>
        <w:jc w:val="both"/>
        <w:outlineLvl w:val="2"/>
        <w:rPr>
          <w:rFonts w:ascii="Arial" w:eastAsia="Times New Roman" w:hAnsi="Arial" w:cs="Arial"/>
          <w:iCs/>
        </w:rPr>
      </w:pPr>
    </w:p>
    <w:p w14:paraId="1FF9080E" w14:textId="42ABA540" w:rsidR="00146132" w:rsidRPr="004829E3" w:rsidRDefault="00146132" w:rsidP="00200D1C">
      <w:pPr>
        <w:jc w:val="both"/>
        <w:rPr>
          <w:rFonts w:ascii="Arial" w:hAnsi="Arial" w:cs="Arial"/>
        </w:rPr>
      </w:pPr>
    </w:p>
    <w:p w14:paraId="60B7D3D0" w14:textId="77777777" w:rsidR="00200D1C" w:rsidRPr="004829E3" w:rsidRDefault="00200D1C" w:rsidP="00200D1C">
      <w:pPr>
        <w:rPr>
          <w:rFonts w:ascii="Arial" w:hAnsi="Arial" w:cs="Arial"/>
        </w:rPr>
      </w:pPr>
    </w:p>
    <w:p w14:paraId="0745C3DC" w14:textId="77777777" w:rsidR="00200D1C" w:rsidRPr="004829E3" w:rsidRDefault="00200D1C" w:rsidP="00200D1C">
      <w:pPr>
        <w:pStyle w:val="Default"/>
        <w:jc w:val="both"/>
        <w:rPr>
          <w:color w:val="auto"/>
          <w:sz w:val="22"/>
          <w:szCs w:val="22"/>
        </w:rPr>
      </w:pPr>
      <w:r w:rsidRPr="004829E3">
        <w:rPr>
          <w:color w:val="auto"/>
          <w:sz w:val="22"/>
          <w:szCs w:val="22"/>
        </w:rPr>
        <w:t xml:space="preserve">Il presente protocollo è altresì volto a prevenire il reato di cui all’art. 416 c.p. (associazione per delinquere), laddove finalizzato alla commissione dei reati di cui sopra. </w:t>
      </w:r>
    </w:p>
    <w:p w14:paraId="1A77749D" w14:textId="77777777" w:rsidR="00200D1C" w:rsidRPr="004829E3" w:rsidRDefault="00200D1C" w:rsidP="00200D1C">
      <w:pPr>
        <w:pStyle w:val="Default"/>
        <w:jc w:val="both"/>
        <w:rPr>
          <w:color w:val="auto"/>
          <w:sz w:val="22"/>
          <w:szCs w:val="22"/>
        </w:rPr>
      </w:pPr>
    </w:p>
    <w:p w14:paraId="73C16C85" w14:textId="77777777" w:rsidR="00200D1C" w:rsidRPr="004829E3" w:rsidRDefault="00200D1C" w:rsidP="00200D1C">
      <w:pPr>
        <w:pStyle w:val="Default"/>
        <w:numPr>
          <w:ilvl w:val="0"/>
          <w:numId w:val="1"/>
        </w:numPr>
        <w:jc w:val="both"/>
        <w:rPr>
          <w:b/>
          <w:bCs/>
          <w:color w:val="auto"/>
          <w:sz w:val="22"/>
          <w:szCs w:val="22"/>
        </w:rPr>
      </w:pPr>
      <w:r w:rsidRPr="004829E3">
        <w:rPr>
          <w:b/>
          <w:bCs/>
          <w:color w:val="auto"/>
          <w:sz w:val="22"/>
          <w:szCs w:val="22"/>
        </w:rPr>
        <w:t xml:space="preserve">Destinatari (Aree a rischio) </w:t>
      </w:r>
    </w:p>
    <w:p w14:paraId="5E6D2114" w14:textId="77777777" w:rsidR="00200D1C" w:rsidRPr="004829E3" w:rsidRDefault="00200D1C" w:rsidP="00200D1C">
      <w:pPr>
        <w:pStyle w:val="Default"/>
        <w:ind w:left="720"/>
        <w:jc w:val="both"/>
        <w:rPr>
          <w:color w:val="auto"/>
          <w:sz w:val="22"/>
          <w:szCs w:val="22"/>
        </w:rPr>
      </w:pPr>
    </w:p>
    <w:p w14:paraId="1B9AD25C" w14:textId="2A85B376" w:rsidR="00200D1C" w:rsidRPr="004829E3" w:rsidRDefault="00200D1C" w:rsidP="00200D1C">
      <w:pPr>
        <w:pStyle w:val="Default"/>
        <w:jc w:val="both"/>
        <w:rPr>
          <w:color w:val="auto"/>
          <w:sz w:val="22"/>
          <w:szCs w:val="22"/>
        </w:rPr>
      </w:pPr>
      <w:r w:rsidRPr="004829E3">
        <w:rPr>
          <w:color w:val="auto"/>
          <w:sz w:val="22"/>
          <w:szCs w:val="22"/>
        </w:rPr>
        <w:t xml:space="preserve">Il presente protocollo, finalizzato alla prevenzione dei reati poc’anzi menzionati, trova applicazione nei confronti di tutti coloro che, nell’esercizio dell’attività di propria competenza a favore della </w:t>
      </w:r>
      <w:r w:rsidR="00B85361" w:rsidRPr="004829E3">
        <w:rPr>
          <w:color w:val="auto"/>
          <w:sz w:val="22"/>
          <w:szCs w:val="22"/>
        </w:rPr>
        <w:t>Fondazione</w:t>
      </w:r>
      <w:r w:rsidRPr="004829E3">
        <w:rPr>
          <w:color w:val="auto"/>
          <w:sz w:val="22"/>
          <w:szCs w:val="22"/>
        </w:rPr>
        <w:t>, intervengono nella gestione dei flussi finanziari</w:t>
      </w:r>
    </w:p>
    <w:p w14:paraId="1D84E1F3" w14:textId="77777777" w:rsidR="00200D1C" w:rsidRPr="004829E3" w:rsidRDefault="00200D1C" w:rsidP="00200D1C">
      <w:pPr>
        <w:pStyle w:val="Default"/>
        <w:jc w:val="both"/>
        <w:rPr>
          <w:color w:val="auto"/>
          <w:sz w:val="22"/>
          <w:szCs w:val="22"/>
        </w:rPr>
      </w:pPr>
      <w:r w:rsidRPr="004829E3">
        <w:rPr>
          <w:color w:val="auto"/>
          <w:sz w:val="22"/>
          <w:szCs w:val="22"/>
        </w:rPr>
        <w:t xml:space="preserve">In particolare, i processi aziendali sensibili prevedono il coinvolgimento, secondo le rispettive competenze, dei seguenti soggetti: </w:t>
      </w:r>
    </w:p>
    <w:p w14:paraId="0DDCE88B" w14:textId="6EC688D1" w:rsidR="00200D1C" w:rsidRPr="004829E3" w:rsidRDefault="00200D1C" w:rsidP="00200D1C">
      <w:pPr>
        <w:pStyle w:val="Default"/>
        <w:jc w:val="both"/>
        <w:rPr>
          <w:color w:val="auto"/>
          <w:sz w:val="22"/>
          <w:szCs w:val="22"/>
        </w:rPr>
      </w:pPr>
    </w:p>
    <w:p w14:paraId="6ED1D7FD" w14:textId="77777777" w:rsidR="00200D1C" w:rsidRPr="004829E3" w:rsidRDefault="00200D1C" w:rsidP="00200D1C">
      <w:pPr>
        <w:pStyle w:val="Default"/>
        <w:jc w:val="both"/>
        <w:rPr>
          <w:color w:val="auto"/>
          <w:sz w:val="22"/>
          <w:szCs w:val="22"/>
        </w:rPr>
      </w:pPr>
    </w:p>
    <w:p w14:paraId="0357E74C" w14:textId="77777777" w:rsidR="00200D1C" w:rsidRPr="004829E3" w:rsidRDefault="00200D1C" w:rsidP="00200D1C">
      <w:pPr>
        <w:pStyle w:val="Default"/>
        <w:numPr>
          <w:ilvl w:val="0"/>
          <w:numId w:val="2"/>
        </w:numPr>
        <w:spacing w:after="17"/>
        <w:jc w:val="both"/>
        <w:rPr>
          <w:color w:val="auto"/>
          <w:sz w:val="22"/>
          <w:szCs w:val="22"/>
        </w:rPr>
      </w:pPr>
      <w:r w:rsidRPr="004829E3">
        <w:rPr>
          <w:color w:val="auto"/>
          <w:sz w:val="22"/>
          <w:szCs w:val="22"/>
        </w:rPr>
        <w:t xml:space="preserve">a) Presidente del Cda </w:t>
      </w:r>
    </w:p>
    <w:p w14:paraId="61128175" w14:textId="3AE164EE" w:rsidR="00B85361" w:rsidRPr="004829E3" w:rsidRDefault="00200D1C" w:rsidP="00B85361">
      <w:pPr>
        <w:pStyle w:val="Default"/>
        <w:numPr>
          <w:ilvl w:val="0"/>
          <w:numId w:val="2"/>
        </w:numPr>
        <w:spacing w:after="17"/>
        <w:jc w:val="both"/>
        <w:rPr>
          <w:color w:val="auto"/>
          <w:sz w:val="22"/>
          <w:szCs w:val="22"/>
        </w:rPr>
      </w:pPr>
      <w:r w:rsidRPr="004829E3">
        <w:rPr>
          <w:color w:val="auto"/>
          <w:sz w:val="22"/>
          <w:szCs w:val="22"/>
        </w:rPr>
        <w:t xml:space="preserve">c) </w:t>
      </w:r>
      <w:r w:rsidR="00D64156" w:rsidRPr="004829E3">
        <w:rPr>
          <w:color w:val="auto"/>
          <w:sz w:val="22"/>
          <w:szCs w:val="22"/>
        </w:rPr>
        <w:t>Responsabile Affari Generali e Legali/Responsabile Amministrativo Facente Funzioni</w:t>
      </w:r>
    </w:p>
    <w:p w14:paraId="0B6CB65C" w14:textId="77777777" w:rsidR="00200D1C" w:rsidRPr="004829E3" w:rsidRDefault="00200D1C" w:rsidP="00200D1C">
      <w:pPr>
        <w:pStyle w:val="Default"/>
        <w:numPr>
          <w:ilvl w:val="0"/>
          <w:numId w:val="2"/>
        </w:numPr>
        <w:spacing w:after="17"/>
        <w:jc w:val="both"/>
        <w:rPr>
          <w:color w:val="auto"/>
          <w:sz w:val="22"/>
          <w:szCs w:val="22"/>
        </w:rPr>
      </w:pPr>
      <w:r w:rsidRPr="004829E3">
        <w:rPr>
          <w:color w:val="auto"/>
          <w:sz w:val="22"/>
          <w:szCs w:val="22"/>
        </w:rPr>
        <w:t xml:space="preserve">d) Consulente Contabile </w:t>
      </w:r>
    </w:p>
    <w:p w14:paraId="649CA1B7" w14:textId="4A5FF50F" w:rsidR="00200D1C" w:rsidRPr="004829E3" w:rsidRDefault="00200D1C" w:rsidP="00200D1C">
      <w:pPr>
        <w:pStyle w:val="Default"/>
        <w:numPr>
          <w:ilvl w:val="0"/>
          <w:numId w:val="2"/>
        </w:numPr>
        <w:jc w:val="both"/>
        <w:rPr>
          <w:color w:val="auto"/>
          <w:sz w:val="22"/>
          <w:szCs w:val="22"/>
        </w:rPr>
      </w:pPr>
    </w:p>
    <w:p w14:paraId="67F4CF75" w14:textId="77777777" w:rsidR="00200D1C" w:rsidRPr="004829E3" w:rsidRDefault="00200D1C" w:rsidP="00200D1C">
      <w:pPr>
        <w:pStyle w:val="Default"/>
        <w:jc w:val="both"/>
        <w:rPr>
          <w:color w:val="auto"/>
          <w:sz w:val="22"/>
          <w:szCs w:val="22"/>
        </w:rPr>
      </w:pPr>
    </w:p>
    <w:p w14:paraId="35C79D83" w14:textId="77777777" w:rsidR="00200D1C" w:rsidRPr="004829E3" w:rsidRDefault="00200D1C" w:rsidP="00200D1C">
      <w:pPr>
        <w:pStyle w:val="Default"/>
        <w:numPr>
          <w:ilvl w:val="0"/>
          <w:numId w:val="1"/>
        </w:numPr>
        <w:jc w:val="both"/>
        <w:rPr>
          <w:b/>
          <w:bCs/>
          <w:color w:val="auto"/>
          <w:sz w:val="22"/>
          <w:szCs w:val="22"/>
        </w:rPr>
      </w:pPr>
      <w:r w:rsidRPr="004829E3">
        <w:rPr>
          <w:b/>
          <w:bCs/>
          <w:color w:val="auto"/>
          <w:sz w:val="22"/>
          <w:szCs w:val="22"/>
        </w:rPr>
        <w:t xml:space="preserve">Processi aziendali coinvolti (Processi a rischio) </w:t>
      </w:r>
    </w:p>
    <w:p w14:paraId="45F2748B" w14:textId="77777777" w:rsidR="00200D1C" w:rsidRPr="004829E3" w:rsidRDefault="00200D1C" w:rsidP="00200D1C">
      <w:pPr>
        <w:pStyle w:val="Default"/>
        <w:ind w:left="720"/>
        <w:jc w:val="both"/>
        <w:rPr>
          <w:color w:val="auto"/>
          <w:sz w:val="22"/>
          <w:szCs w:val="22"/>
        </w:rPr>
      </w:pPr>
    </w:p>
    <w:p w14:paraId="016DDD0E" w14:textId="467D9661" w:rsidR="00200D1C" w:rsidRPr="004829E3" w:rsidRDefault="00200D1C" w:rsidP="00200D1C">
      <w:pPr>
        <w:pStyle w:val="Default"/>
        <w:jc w:val="both"/>
        <w:rPr>
          <w:color w:val="auto"/>
          <w:sz w:val="22"/>
          <w:szCs w:val="22"/>
        </w:rPr>
      </w:pPr>
      <w:r w:rsidRPr="004829E3">
        <w:rPr>
          <w:color w:val="auto"/>
          <w:sz w:val="22"/>
          <w:szCs w:val="22"/>
        </w:rPr>
        <w:t xml:space="preserve">I Destinatari del presente protocollo, per quanto rileva ai fini della prevenzione dei reati poc’anzi menzionati, partecipano alla gestione dei flussi finanziari principalmente (ed a titolo esemplificativo) attraverso i seguenti processi aziendali: </w:t>
      </w:r>
    </w:p>
    <w:p w14:paraId="6EC60C6B" w14:textId="77777777" w:rsidR="00200D1C" w:rsidRPr="004829E3" w:rsidRDefault="00200D1C" w:rsidP="00200D1C">
      <w:pPr>
        <w:pStyle w:val="Default"/>
        <w:jc w:val="both"/>
        <w:rPr>
          <w:color w:val="auto"/>
          <w:sz w:val="22"/>
          <w:szCs w:val="22"/>
        </w:rPr>
      </w:pPr>
    </w:p>
    <w:p w14:paraId="3ED756C3" w14:textId="77777777" w:rsidR="00200D1C" w:rsidRPr="004829E3" w:rsidRDefault="00200D1C" w:rsidP="00200D1C">
      <w:pPr>
        <w:pStyle w:val="Default"/>
        <w:jc w:val="both"/>
        <w:rPr>
          <w:color w:val="auto"/>
          <w:sz w:val="22"/>
          <w:szCs w:val="22"/>
        </w:rPr>
      </w:pPr>
    </w:p>
    <w:p w14:paraId="66285FD0" w14:textId="36387990" w:rsidR="00200D1C" w:rsidRPr="004829E3" w:rsidRDefault="00200D1C" w:rsidP="00200D1C">
      <w:pPr>
        <w:pStyle w:val="Default"/>
        <w:numPr>
          <w:ilvl w:val="0"/>
          <w:numId w:val="3"/>
        </w:numPr>
        <w:spacing w:after="36"/>
        <w:jc w:val="both"/>
        <w:rPr>
          <w:color w:val="auto"/>
          <w:sz w:val="22"/>
          <w:szCs w:val="22"/>
        </w:rPr>
      </w:pPr>
      <w:r w:rsidRPr="004829E3">
        <w:rPr>
          <w:color w:val="auto"/>
          <w:sz w:val="22"/>
          <w:szCs w:val="22"/>
        </w:rPr>
        <w:t>a) ciclo attivo e passivo (gestione dei flussi finanziari)</w:t>
      </w:r>
      <w:r w:rsidR="00590F95" w:rsidRPr="004829E3">
        <w:rPr>
          <w:color w:val="auto"/>
          <w:sz w:val="22"/>
          <w:szCs w:val="22"/>
        </w:rPr>
        <w:t>. Gestione dei conti corrente</w:t>
      </w:r>
    </w:p>
    <w:p w14:paraId="35F09AC3" w14:textId="3D52E847" w:rsidR="00200D1C" w:rsidRPr="004829E3" w:rsidRDefault="00200D1C" w:rsidP="00200D1C">
      <w:pPr>
        <w:pStyle w:val="Default"/>
        <w:numPr>
          <w:ilvl w:val="0"/>
          <w:numId w:val="3"/>
        </w:numPr>
        <w:spacing w:after="36"/>
        <w:jc w:val="both"/>
        <w:rPr>
          <w:color w:val="auto"/>
          <w:sz w:val="22"/>
          <w:szCs w:val="22"/>
        </w:rPr>
      </w:pPr>
      <w:r w:rsidRPr="004829E3">
        <w:rPr>
          <w:color w:val="auto"/>
          <w:sz w:val="22"/>
          <w:szCs w:val="22"/>
        </w:rPr>
        <w:t xml:space="preserve">b) rapporti con gli istituti di credito; </w:t>
      </w:r>
    </w:p>
    <w:p w14:paraId="09948FC9" w14:textId="188E67F3" w:rsidR="00D64156" w:rsidRPr="004829E3" w:rsidRDefault="00D64156" w:rsidP="00D64156">
      <w:pPr>
        <w:pStyle w:val="Default"/>
        <w:numPr>
          <w:ilvl w:val="0"/>
          <w:numId w:val="8"/>
        </w:numPr>
        <w:spacing w:after="36"/>
        <w:jc w:val="both"/>
        <w:rPr>
          <w:color w:val="auto"/>
          <w:sz w:val="22"/>
          <w:szCs w:val="22"/>
        </w:rPr>
      </w:pPr>
      <w:r w:rsidRPr="004829E3">
        <w:rPr>
          <w:color w:val="auto"/>
          <w:sz w:val="22"/>
          <w:szCs w:val="22"/>
        </w:rPr>
        <w:t>c)</w:t>
      </w:r>
      <w:r w:rsidRPr="004829E3">
        <w:rPr>
          <w:rFonts w:eastAsia="Times New Roman"/>
          <w:color w:val="auto"/>
          <w:sz w:val="18"/>
          <w:szCs w:val="18"/>
        </w:rPr>
        <w:t xml:space="preserve"> </w:t>
      </w:r>
      <w:r w:rsidRPr="004829E3">
        <w:rPr>
          <w:rFonts w:eastAsia="Times New Roman"/>
          <w:color w:val="auto"/>
          <w:sz w:val="22"/>
          <w:szCs w:val="22"/>
        </w:rPr>
        <w:t>ciclo attivo e passivo (gestione dei flussi finanziari). Gestione utilizzo carte di credito e strumenti di pagamento diversi dai contanti;</w:t>
      </w:r>
    </w:p>
    <w:p w14:paraId="02D57160" w14:textId="145DBAB6" w:rsidR="00D64156" w:rsidRPr="004829E3" w:rsidRDefault="00D64156" w:rsidP="00D64156">
      <w:pPr>
        <w:pStyle w:val="Default"/>
        <w:jc w:val="both"/>
        <w:rPr>
          <w:color w:val="auto"/>
          <w:sz w:val="22"/>
          <w:szCs w:val="22"/>
        </w:rPr>
      </w:pPr>
      <w:r w:rsidRPr="004829E3">
        <w:rPr>
          <w:color w:val="auto"/>
          <w:sz w:val="22"/>
          <w:szCs w:val="22"/>
        </w:rPr>
        <w:t>d) ciclo attivo e passivo – gestione cassa contanti e valori bollati</w:t>
      </w:r>
    </w:p>
    <w:p w14:paraId="1608F44A" w14:textId="516B16FD" w:rsidR="00D64156" w:rsidRPr="004829E3" w:rsidRDefault="00D64156" w:rsidP="00D64156">
      <w:pPr>
        <w:pStyle w:val="Default"/>
        <w:numPr>
          <w:ilvl w:val="0"/>
          <w:numId w:val="8"/>
        </w:numPr>
        <w:spacing w:after="36"/>
        <w:jc w:val="both"/>
        <w:rPr>
          <w:b/>
          <w:bCs/>
          <w:i/>
          <w:iCs/>
          <w:color w:val="auto"/>
          <w:sz w:val="22"/>
          <w:szCs w:val="22"/>
          <w:u w:val="single"/>
        </w:rPr>
      </w:pPr>
    </w:p>
    <w:p w14:paraId="26EEE112" w14:textId="235CC31A" w:rsidR="00D64156" w:rsidRPr="004829E3" w:rsidRDefault="00D64156" w:rsidP="00200D1C">
      <w:pPr>
        <w:pStyle w:val="Default"/>
        <w:numPr>
          <w:ilvl w:val="0"/>
          <w:numId w:val="3"/>
        </w:numPr>
        <w:spacing w:after="36"/>
        <w:jc w:val="both"/>
        <w:rPr>
          <w:color w:val="auto"/>
          <w:sz w:val="22"/>
          <w:szCs w:val="22"/>
        </w:rPr>
      </w:pPr>
    </w:p>
    <w:p w14:paraId="1B82F026" w14:textId="77777777" w:rsidR="00200D1C" w:rsidRPr="004829E3" w:rsidRDefault="00200D1C" w:rsidP="00200D1C">
      <w:pPr>
        <w:pStyle w:val="Default"/>
        <w:jc w:val="both"/>
        <w:rPr>
          <w:color w:val="auto"/>
          <w:sz w:val="22"/>
          <w:szCs w:val="22"/>
        </w:rPr>
      </w:pPr>
    </w:p>
    <w:p w14:paraId="0943A505" w14:textId="7536EBEF" w:rsidR="00200D1C" w:rsidRPr="004829E3" w:rsidRDefault="00FE17FA" w:rsidP="00200D1C">
      <w:pPr>
        <w:pStyle w:val="Default"/>
        <w:numPr>
          <w:ilvl w:val="0"/>
          <w:numId w:val="1"/>
        </w:numPr>
        <w:jc w:val="both"/>
        <w:rPr>
          <w:b/>
          <w:bCs/>
          <w:color w:val="auto"/>
          <w:sz w:val="22"/>
          <w:szCs w:val="22"/>
        </w:rPr>
      </w:pPr>
      <w:r w:rsidRPr="004829E3">
        <w:rPr>
          <w:b/>
          <w:bCs/>
          <w:color w:val="auto"/>
          <w:sz w:val="22"/>
          <w:szCs w:val="22"/>
        </w:rPr>
        <w:t>Principi generali e d</w:t>
      </w:r>
      <w:r w:rsidR="00200D1C" w:rsidRPr="004829E3">
        <w:rPr>
          <w:b/>
          <w:bCs/>
          <w:color w:val="auto"/>
          <w:sz w:val="22"/>
          <w:szCs w:val="22"/>
        </w:rPr>
        <w:t xml:space="preserve">ocumentazione integrativa </w:t>
      </w:r>
    </w:p>
    <w:p w14:paraId="031E61AC" w14:textId="77777777" w:rsidR="00200D1C" w:rsidRPr="004829E3" w:rsidRDefault="00200D1C" w:rsidP="00200D1C">
      <w:pPr>
        <w:pStyle w:val="Default"/>
        <w:ind w:left="720"/>
        <w:jc w:val="both"/>
        <w:rPr>
          <w:color w:val="auto"/>
          <w:sz w:val="22"/>
          <w:szCs w:val="22"/>
        </w:rPr>
      </w:pPr>
    </w:p>
    <w:p w14:paraId="3954B8D4" w14:textId="6F692903" w:rsidR="0006110C" w:rsidRPr="004829E3" w:rsidRDefault="00200D1C" w:rsidP="00200D1C">
      <w:pPr>
        <w:pStyle w:val="Default"/>
        <w:jc w:val="both"/>
        <w:rPr>
          <w:color w:val="auto"/>
          <w:sz w:val="22"/>
          <w:szCs w:val="22"/>
        </w:rPr>
      </w:pPr>
      <w:r w:rsidRPr="004829E3">
        <w:rPr>
          <w:color w:val="auto"/>
          <w:sz w:val="22"/>
          <w:szCs w:val="22"/>
        </w:rPr>
        <w:t>Le risorse finanziarie</w:t>
      </w:r>
      <w:r w:rsidR="00FE17FA" w:rsidRPr="004829E3">
        <w:rPr>
          <w:color w:val="auto"/>
          <w:sz w:val="22"/>
          <w:szCs w:val="22"/>
        </w:rPr>
        <w:t xml:space="preserve"> </w:t>
      </w:r>
      <w:r w:rsidRPr="004829E3">
        <w:rPr>
          <w:color w:val="auto"/>
          <w:sz w:val="22"/>
          <w:szCs w:val="22"/>
        </w:rPr>
        <w:t xml:space="preserve">della </w:t>
      </w:r>
      <w:r w:rsidR="00B85361" w:rsidRPr="004829E3">
        <w:rPr>
          <w:color w:val="auto"/>
          <w:sz w:val="22"/>
          <w:szCs w:val="22"/>
        </w:rPr>
        <w:t>Fondazione</w:t>
      </w:r>
      <w:r w:rsidRPr="004829E3">
        <w:rPr>
          <w:color w:val="auto"/>
          <w:sz w:val="22"/>
          <w:szCs w:val="22"/>
        </w:rPr>
        <w:t xml:space="preserve"> devono essere amministrate </w:t>
      </w:r>
      <w:r w:rsidR="00FE17FA" w:rsidRPr="004829E3">
        <w:rPr>
          <w:color w:val="auto"/>
          <w:sz w:val="22"/>
          <w:szCs w:val="22"/>
        </w:rPr>
        <w:t xml:space="preserve">e gestiti </w:t>
      </w:r>
      <w:r w:rsidRPr="004829E3">
        <w:rPr>
          <w:color w:val="auto"/>
          <w:sz w:val="22"/>
          <w:szCs w:val="22"/>
        </w:rPr>
        <w:t xml:space="preserve">secondo criteri di massima trasparenza, correttezza e veridicità in ossequio alla normativa vigente </w:t>
      </w:r>
      <w:bookmarkStart w:id="0" w:name="_Hlk44879860"/>
      <w:r w:rsidRPr="004829E3">
        <w:rPr>
          <w:color w:val="auto"/>
          <w:sz w:val="22"/>
          <w:szCs w:val="22"/>
        </w:rPr>
        <w:t xml:space="preserve">in ambito </w:t>
      </w:r>
      <w:r w:rsidR="0006110C" w:rsidRPr="004829E3">
        <w:rPr>
          <w:color w:val="auto"/>
          <w:sz w:val="22"/>
          <w:szCs w:val="22"/>
        </w:rPr>
        <w:t xml:space="preserve">finanziario, </w:t>
      </w:r>
      <w:r w:rsidRPr="004829E3">
        <w:rPr>
          <w:color w:val="auto"/>
          <w:sz w:val="22"/>
          <w:szCs w:val="22"/>
        </w:rPr>
        <w:t>contabile e fiscale</w:t>
      </w:r>
      <w:bookmarkEnd w:id="0"/>
      <w:r w:rsidRPr="004829E3">
        <w:rPr>
          <w:color w:val="auto"/>
          <w:sz w:val="22"/>
          <w:szCs w:val="22"/>
        </w:rPr>
        <w:t xml:space="preserve">, in modo da consentire la ricostruzione puntuale di ogni flusso da e verso la </w:t>
      </w:r>
      <w:r w:rsidR="00B85361" w:rsidRPr="004829E3">
        <w:rPr>
          <w:color w:val="auto"/>
          <w:sz w:val="22"/>
          <w:szCs w:val="22"/>
        </w:rPr>
        <w:t>Fondazione</w:t>
      </w:r>
      <w:r w:rsidRPr="004829E3">
        <w:rPr>
          <w:color w:val="auto"/>
          <w:sz w:val="22"/>
          <w:szCs w:val="22"/>
        </w:rPr>
        <w:t xml:space="preserve"> stessa. </w:t>
      </w:r>
    </w:p>
    <w:p w14:paraId="4EE566E2" w14:textId="77777777" w:rsidR="0006110C" w:rsidRPr="004829E3" w:rsidRDefault="0006110C" w:rsidP="00200D1C">
      <w:pPr>
        <w:pStyle w:val="Default"/>
        <w:jc w:val="both"/>
        <w:rPr>
          <w:color w:val="auto"/>
          <w:sz w:val="22"/>
          <w:szCs w:val="22"/>
        </w:rPr>
      </w:pPr>
    </w:p>
    <w:p w14:paraId="5E81E8F8" w14:textId="4FDDC586" w:rsidR="00200D1C" w:rsidRPr="004829E3" w:rsidRDefault="00200D1C" w:rsidP="00200D1C">
      <w:pPr>
        <w:pStyle w:val="Default"/>
        <w:jc w:val="both"/>
        <w:rPr>
          <w:color w:val="auto"/>
          <w:sz w:val="22"/>
          <w:szCs w:val="22"/>
        </w:rPr>
      </w:pPr>
      <w:r w:rsidRPr="004829E3">
        <w:rPr>
          <w:color w:val="auto"/>
          <w:sz w:val="22"/>
          <w:szCs w:val="22"/>
        </w:rPr>
        <w:t xml:space="preserve">Il presente protocollo richiama ed integra quanto già disciplinato nell’ambito della seguente documentazione: </w:t>
      </w:r>
    </w:p>
    <w:p w14:paraId="38D36350" w14:textId="77777777" w:rsidR="00200D1C" w:rsidRPr="004829E3" w:rsidRDefault="00200D1C" w:rsidP="00200D1C">
      <w:pPr>
        <w:pStyle w:val="Default"/>
        <w:jc w:val="both"/>
        <w:rPr>
          <w:color w:val="auto"/>
          <w:sz w:val="22"/>
          <w:szCs w:val="22"/>
        </w:rPr>
      </w:pPr>
    </w:p>
    <w:p w14:paraId="549F2E88" w14:textId="1EE0AD1B" w:rsidR="00200D1C" w:rsidRPr="004829E3" w:rsidRDefault="00200D1C" w:rsidP="009F41D9">
      <w:pPr>
        <w:pStyle w:val="Default"/>
        <w:numPr>
          <w:ilvl w:val="0"/>
          <w:numId w:val="19"/>
        </w:numPr>
        <w:spacing w:after="162"/>
        <w:jc w:val="both"/>
        <w:rPr>
          <w:color w:val="auto"/>
          <w:sz w:val="23"/>
          <w:szCs w:val="23"/>
        </w:rPr>
      </w:pPr>
      <w:r w:rsidRPr="004829E3">
        <w:rPr>
          <w:color w:val="auto"/>
          <w:sz w:val="22"/>
          <w:szCs w:val="22"/>
        </w:rPr>
        <w:t>Codice Etico</w:t>
      </w:r>
      <w:r w:rsidRPr="004829E3">
        <w:rPr>
          <w:color w:val="auto"/>
          <w:sz w:val="23"/>
          <w:szCs w:val="23"/>
        </w:rPr>
        <w:t xml:space="preserve"> </w:t>
      </w:r>
    </w:p>
    <w:p w14:paraId="6E11E056" w14:textId="708C3FDA" w:rsidR="009F41D9" w:rsidRPr="004829E3" w:rsidRDefault="009F41D9" w:rsidP="009F41D9">
      <w:pPr>
        <w:pStyle w:val="Default"/>
        <w:numPr>
          <w:ilvl w:val="0"/>
          <w:numId w:val="19"/>
        </w:numPr>
        <w:spacing w:after="162"/>
        <w:jc w:val="both"/>
        <w:rPr>
          <w:color w:val="auto"/>
          <w:sz w:val="22"/>
          <w:szCs w:val="22"/>
        </w:rPr>
      </w:pPr>
      <w:r w:rsidRPr="004829E3">
        <w:rPr>
          <w:color w:val="auto"/>
          <w:sz w:val="22"/>
          <w:szCs w:val="22"/>
        </w:rPr>
        <w:t>Statuto e Atto Costitutivo</w:t>
      </w:r>
    </w:p>
    <w:p w14:paraId="7AEA39A8" w14:textId="6B34D88E" w:rsidR="001834BC" w:rsidRPr="004829E3" w:rsidRDefault="001834BC" w:rsidP="009F41D9">
      <w:pPr>
        <w:pStyle w:val="Default"/>
        <w:numPr>
          <w:ilvl w:val="0"/>
          <w:numId w:val="19"/>
        </w:numPr>
        <w:spacing w:after="162"/>
        <w:jc w:val="both"/>
        <w:rPr>
          <w:color w:val="auto"/>
          <w:sz w:val="22"/>
          <w:szCs w:val="22"/>
        </w:rPr>
      </w:pPr>
      <w:r w:rsidRPr="004829E3">
        <w:rPr>
          <w:color w:val="auto"/>
          <w:sz w:val="22"/>
          <w:szCs w:val="22"/>
        </w:rPr>
        <w:t>Poteri, deleghe e procure;</w:t>
      </w:r>
    </w:p>
    <w:p w14:paraId="4E9CD2ED" w14:textId="45540102" w:rsidR="00200D1C" w:rsidRPr="004829E3" w:rsidRDefault="00200D1C" w:rsidP="009F41D9">
      <w:pPr>
        <w:pStyle w:val="Default"/>
        <w:numPr>
          <w:ilvl w:val="0"/>
          <w:numId w:val="19"/>
        </w:numPr>
        <w:spacing w:after="136"/>
        <w:jc w:val="both"/>
        <w:rPr>
          <w:color w:val="auto"/>
          <w:sz w:val="22"/>
          <w:szCs w:val="22"/>
        </w:rPr>
      </w:pPr>
      <w:r w:rsidRPr="004829E3">
        <w:rPr>
          <w:color w:val="auto"/>
          <w:sz w:val="22"/>
          <w:szCs w:val="22"/>
        </w:rPr>
        <w:t>Codice civile</w:t>
      </w:r>
      <w:r w:rsidR="00682681" w:rsidRPr="004829E3">
        <w:rPr>
          <w:color w:val="auto"/>
          <w:sz w:val="22"/>
          <w:szCs w:val="22"/>
        </w:rPr>
        <w:t xml:space="preserve"> e leggi ordinarie</w:t>
      </w:r>
      <w:r w:rsidRPr="004829E3">
        <w:rPr>
          <w:color w:val="auto"/>
          <w:sz w:val="22"/>
          <w:szCs w:val="22"/>
        </w:rPr>
        <w:t xml:space="preserve">; </w:t>
      </w:r>
    </w:p>
    <w:p w14:paraId="2AB3BFEB" w14:textId="42B78FDB" w:rsidR="00585941" w:rsidRPr="004829E3" w:rsidRDefault="00200D1C" w:rsidP="009F41D9">
      <w:pPr>
        <w:pStyle w:val="Default"/>
        <w:numPr>
          <w:ilvl w:val="0"/>
          <w:numId w:val="19"/>
        </w:numPr>
        <w:jc w:val="both"/>
        <w:rPr>
          <w:color w:val="auto"/>
          <w:sz w:val="22"/>
          <w:szCs w:val="22"/>
        </w:rPr>
      </w:pPr>
      <w:r w:rsidRPr="004829E3">
        <w:rPr>
          <w:color w:val="auto"/>
          <w:sz w:val="22"/>
          <w:szCs w:val="22"/>
        </w:rPr>
        <w:t xml:space="preserve">Altre procedure del presente MOG cui si rinvia, per quanto di competenza, con particolare – ma non esclusivo – riferimento a: </w:t>
      </w:r>
    </w:p>
    <w:p w14:paraId="57DB1270" w14:textId="7E69D06E" w:rsidR="00200D1C" w:rsidRPr="004829E3" w:rsidRDefault="00200D1C" w:rsidP="00585941">
      <w:pPr>
        <w:pStyle w:val="Default"/>
        <w:numPr>
          <w:ilvl w:val="0"/>
          <w:numId w:val="14"/>
        </w:numPr>
        <w:jc w:val="both"/>
        <w:rPr>
          <w:color w:val="auto"/>
          <w:sz w:val="22"/>
          <w:szCs w:val="22"/>
        </w:rPr>
      </w:pPr>
      <w:r w:rsidRPr="004829E3">
        <w:rPr>
          <w:color w:val="auto"/>
          <w:sz w:val="22"/>
          <w:szCs w:val="22"/>
        </w:rPr>
        <w:t xml:space="preserve">Protocollo 1 (gestione dei rapporti con l’ODV) per quanto attiene i flussi informativi verso l’ODV; </w:t>
      </w:r>
    </w:p>
    <w:p w14:paraId="0638362C" w14:textId="331D92B8" w:rsidR="00585941" w:rsidRPr="004829E3" w:rsidRDefault="00200D1C" w:rsidP="00585941">
      <w:pPr>
        <w:pStyle w:val="Default"/>
        <w:numPr>
          <w:ilvl w:val="0"/>
          <w:numId w:val="14"/>
        </w:numPr>
        <w:spacing w:after="18"/>
        <w:jc w:val="both"/>
        <w:rPr>
          <w:color w:val="auto"/>
          <w:sz w:val="22"/>
          <w:szCs w:val="22"/>
        </w:rPr>
      </w:pPr>
      <w:r w:rsidRPr="004829E3">
        <w:rPr>
          <w:color w:val="auto"/>
          <w:sz w:val="22"/>
          <w:szCs w:val="22"/>
        </w:rPr>
        <w:t>Protocollo 3 (gestione dei rapporti consulenziali) per quanto attiene i flussi verso i consulenti;</w:t>
      </w:r>
    </w:p>
    <w:p w14:paraId="0A5F2530" w14:textId="4786DC76" w:rsidR="00200D1C" w:rsidRPr="004829E3" w:rsidRDefault="00200D1C" w:rsidP="00585941">
      <w:pPr>
        <w:pStyle w:val="Default"/>
        <w:numPr>
          <w:ilvl w:val="0"/>
          <w:numId w:val="14"/>
        </w:numPr>
        <w:spacing w:after="18"/>
        <w:jc w:val="both"/>
        <w:rPr>
          <w:color w:val="auto"/>
          <w:sz w:val="22"/>
          <w:szCs w:val="22"/>
        </w:rPr>
      </w:pPr>
      <w:r w:rsidRPr="004829E3">
        <w:rPr>
          <w:color w:val="auto"/>
          <w:sz w:val="22"/>
          <w:szCs w:val="22"/>
        </w:rPr>
        <w:lastRenderedPageBreak/>
        <w:t>Protocollo 4 (gestione degli acquisti) per quanto attien</w:t>
      </w:r>
      <w:r w:rsidR="00742776" w:rsidRPr="004829E3">
        <w:rPr>
          <w:color w:val="auto"/>
          <w:sz w:val="22"/>
          <w:szCs w:val="22"/>
        </w:rPr>
        <w:t xml:space="preserve">e ai </w:t>
      </w:r>
      <w:r w:rsidRPr="004829E3">
        <w:rPr>
          <w:color w:val="auto"/>
          <w:sz w:val="22"/>
          <w:szCs w:val="22"/>
        </w:rPr>
        <w:t xml:space="preserve">flussi verso i fornitori; </w:t>
      </w:r>
    </w:p>
    <w:p w14:paraId="7F225563" w14:textId="5A28740D" w:rsidR="00200D1C" w:rsidRPr="004829E3" w:rsidRDefault="00200D1C" w:rsidP="00585941">
      <w:pPr>
        <w:pStyle w:val="Default"/>
        <w:numPr>
          <w:ilvl w:val="0"/>
          <w:numId w:val="14"/>
        </w:numPr>
        <w:jc w:val="both"/>
        <w:rPr>
          <w:color w:val="auto"/>
          <w:sz w:val="22"/>
          <w:szCs w:val="22"/>
        </w:rPr>
      </w:pPr>
      <w:r w:rsidRPr="004829E3">
        <w:rPr>
          <w:color w:val="auto"/>
          <w:sz w:val="22"/>
          <w:szCs w:val="22"/>
        </w:rPr>
        <w:t xml:space="preserve">Protocollo 5 (Anticorruzione e gestione dei rapporti con le PP.AA.) per quanto attiene i flussi finanziari da e verso gli Enti Pubblici e Privati. </w:t>
      </w:r>
    </w:p>
    <w:p w14:paraId="47EB6D97" w14:textId="77777777" w:rsidR="00682681" w:rsidRPr="004829E3" w:rsidRDefault="00682681" w:rsidP="00200D1C">
      <w:pPr>
        <w:pStyle w:val="Default"/>
        <w:jc w:val="both"/>
        <w:rPr>
          <w:color w:val="auto"/>
          <w:sz w:val="22"/>
          <w:szCs w:val="22"/>
        </w:rPr>
      </w:pPr>
    </w:p>
    <w:p w14:paraId="1E23B6A7" w14:textId="77777777" w:rsidR="008326A9" w:rsidRPr="004829E3" w:rsidRDefault="008326A9" w:rsidP="00200D1C">
      <w:pPr>
        <w:pStyle w:val="Default"/>
        <w:jc w:val="both"/>
        <w:rPr>
          <w:color w:val="auto"/>
          <w:sz w:val="22"/>
          <w:szCs w:val="22"/>
        </w:rPr>
      </w:pPr>
    </w:p>
    <w:p w14:paraId="28E0DE71" w14:textId="77777777" w:rsidR="00200D1C" w:rsidRPr="004829E3" w:rsidRDefault="00200D1C" w:rsidP="00200D1C">
      <w:pPr>
        <w:pStyle w:val="Default"/>
        <w:jc w:val="both"/>
        <w:rPr>
          <w:color w:val="auto"/>
          <w:sz w:val="22"/>
          <w:szCs w:val="22"/>
        </w:rPr>
      </w:pPr>
    </w:p>
    <w:p w14:paraId="55C2679F" w14:textId="55B611AF" w:rsidR="00200D1C" w:rsidRPr="004829E3" w:rsidRDefault="0035240C" w:rsidP="00200D1C">
      <w:pPr>
        <w:pStyle w:val="Default"/>
        <w:jc w:val="both"/>
        <w:rPr>
          <w:color w:val="auto"/>
          <w:sz w:val="22"/>
          <w:szCs w:val="22"/>
        </w:rPr>
      </w:pPr>
      <w:r w:rsidRPr="004829E3">
        <w:rPr>
          <w:b/>
          <w:bCs/>
          <w:color w:val="auto"/>
          <w:sz w:val="22"/>
          <w:szCs w:val="22"/>
        </w:rPr>
        <w:t>5</w:t>
      </w:r>
      <w:r w:rsidR="00200D1C" w:rsidRPr="004829E3">
        <w:rPr>
          <w:b/>
          <w:bCs/>
          <w:color w:val="auto"/>
          <w:sz w:val="22"/>
          <w:szCs w:val="22"/>
        </w:rPr>
        <w:t xml:space="preserve">. Procedure da applicare </w:t>
      </w:r>
    </w:p>
    <w:p w14:paraId="3C8BEC1C" w14:textId="77777777" w:rsidR="00F55A38" w:rsidRPr="004829E3" w:rsidRDefault="00F55A38" w:rsidP="00200D1C">
      <w:pPr>
        <w:pStyle w:val="Default"/>
        <w:jc w:val="both"/>
        <w:rPr>
          <w:color w:val="auto"/>
          <w:sz w:val="22"/>
          <w:szCs w:val="22"/>
        </w:rPr>
      </w:pPr>
    </w:p>
    <w:p w14:paraId="1E0E1F0C" w14:textId="378812D6" w:rsidR="00200D1C" w:rsidRPr="004829E3" w:rsidRDefault="00200D1C" w:rsidP="00200D1C">
      <w:pPr>
        <w:pStyle w:val="Default"/>
        <w:jc w:val="both"/>
        <w:rPr>
          <w:color w:val="auto"/>
          <w:sz w:val="22"/>
          <w:szCs w:val="22"/>
        </w:rPr>
      </w:pPr>
      <w:r w:rsidRPr="004829E3">
        <w:rPr>
          <w:color w:val="auto"/>
          <w:sz w:val="22"/>
          <w:szCs w:val="22"/>
        </w:rPr>
        <w:t>Ai fini della prevenzione dei reati di cui al d.lgs. 231/01 con riferimento ai processi aziendali coinvolti e che si ritengono potenzia</w:t>
      </w:r>
      <w:r w:rsidR="00B85361" w:rsidRPr="004829E3">
        <w:rPr>
          <w:color w:val="auto"/>
          <w:sz w:val="22"/>
          <w:szCs w:val="22"/>
        </w:rPr>
        <w:t>l</w:t>
      </w:r>
      <w:r w:rsidRPr="004829E3">
        <w:rPr>
          <w:color w:val="auto"/>
          <w:sz w:val="22"/>
          <w:szCs w:val="22"/>
        </w:rPr>
        <w:t xml:space="preserve">mente a rischio commissione reato di cui al suddetto decreto come da punto 3 del presente protocollo, si delineano le seguenti procedure: </w:t>
      </w:r>
    </w:p>
    <w:p w14:paraId="2EEE5A28" w14:textId="77777777" w:rsidR="00273A71" w:rsidRPr="004829E3" w:rsidRDefault="00273A71" w:rsidP="00200D1C">
      <w:pPr>
        <w:pStyle w:val="Default"/>
        <w:jc w:val="both"/>
        <w:rPr>
          <w:color w:val="auto"/>
          <w:sz w:val="22"/>
          <w:szCs w:val="22"/>
        </w:rPr>
      </w:pPr>
    </w:p>
    <w:p w14:paraId="1EC9D27F" w14:textId="091A8FB9" w:rsidR="00200D1C" w:rsidRPr="004829E3" w:rsidRDefault="00200D1C" w:rsidP="00200D1C">
      <w:pPr>
        <w:pStyle w:val="Default"/>
        <w:numPr>
          <w:ilvl w:val="0"/>
          <w:numId w:val="4"/>
        </w:numPr>
        <w:jc w:val="both"/>
        <w:rPr>
          <w:b/>
          <w:bCs/>
          <w:color w:val="auto"/>
          <w:sz w:val="22"/>
          <w:szCs w:val="22"/>
          <w:u w:val="single"/>
        </w:rPr>
      </w:pPr>
      <w:r w:rsidRPr="004829E3">
        <w:rPr>
          <w:b/>
          <w:bCs/>
          <w:i/>
          <w:iCs/>
          <w:color w:val="auto"/>
          <w:sz w:val="22"/>
          <w:szCs w:val="22"/>
          <w:u w:val="single"/>
        </w:rPr>
        <w:t>a) Ciclo attivo e passivo</w:t>
      </w:r>
      <w:r w:rsidR="00590F95" w:rsidRPr="004829E3">
        <w:rPr>
          <w:b/>
          <w:bCs/>
          <w:i/>
          <w:iCs/>
          <w:color w:val="auto"/>
          <w:sz w:val="22"/>
          <w:szCs w:val="22"/>
          <w:u w:val="single"/>
        </w:rPr>
        <w:t xml:space="preserve"> (gestione dei flussi finanziari).</w:t>
      </w:r>
      <w:r w:rsidRPr="004829E3">
        <w:rPr>
          <w:b/>
          <w:bCs/>
          <w:i/>
          <w:iCs/>
          <w:color w:val="auto"/>
          <w:sz w:val="22"/>
          <w:szCs w:val="22"/>
          <w:u w:val="single"/>
        </w:rPr>
        <w:t xml:space="preserve"> </w:t>
      </w:r>
      <w:r w:rsidR="00590F95" w:rsidRPr="004829E3">
        <w:rPr>
          <w:b/>
          <w:bCs/>
          <w:i/>
          <w:iCs/>
          <w:color w:val="auto"/>
          <w:sz w:val="22"/>
          <w:szCs w:val="22"/>
          <w:u w:val="single"/>
        </w:rPr>
        <w:t>G</w:t>
      </w:r>
      <w:r w:rsidRPr="004829E3">
        <w:rPr>
          <w:b/>
          <w:bCs/>
          <w:i/>
          <w:iCs/>
          <w:color w:val="auto"/>
          <w:sz w:val="22"/>
          <w:szCs w:val="22"/>
          <w:u w:val="single"/>
        </w:rPr>
        <w:t xml:space="preserve">estione dei conti correnti bancari </w:t>
      </w:r>
    </w:p>
    <w:p w14:paraId="3F9D2263" w14:textId="77777777" w:rsidR="00200D1C" w:rsidRPr="004829E3" w:rsidRDefault="00200D1C" w:rsidP="00200D1C">
      <w:pPr>
        <w:pStyle w:val="Default"/>
        <w:jc w:val="both"/>
        <w:rPr>
          <w:color w:val="auto"/>
          <w:sz w:val="22"/>
          <w:szCs w:val="22"/>
        </w:rPr>
      </w:pPr>
    </w:p>
    <w:p w14:paraId="0A3CF80D" w14:textId="77777777" w:rsidR="00200D1C" w:rsidRPr="004829E3" w:rsidRDefault="00200D1C" w:rsidP="00200D1C">
      <w:pPr>
        <w:pStyle w:val="Default"/>
        <w:jc w:val="both"/>
        <w:rPr>
          <w:color w:val="auto"/>
          <w:sz w:val="22"/>
          <w:szCs w:val="22"/>
        </w:rPr>
      </w:pPr>
      <w:r w:rsidRPr="004829E3">
        <w:rPr>
          <w:i/>
          <w:iCs/>
          <w:color w:val="auto"/>
          <w:sz w:val="22"/>
          <w:szCs w:val="22"/>
        </w:rPr>
        <w:t xml:space="preserve">1) Poteri di spesa </w:t>
      </w:r>
    </w:p>
    <w:p w14:paraId="6004B428" w14:textId="77777777" w:rsidR="00200D1C" w:rsidRPr="004829E3" w:rsidRDefault="00200D1C" w:rsidP="00200D1C">
      <w:pPr>
        <w:pStyle w:val="Default"/>
        <w:jc w:val="both"/>
        <w:rPr>
          <w:color w:val="auto"/>
          <w:sz w:val="22"/>
          <w:szCs w:val="22"/>
        </w:rPr>
      </w:pPr>
    </w:p>
    <w:p w14:paraId="2F804D88" w14:textId="77777777" w:rsidR="00200D1C" w:rsidRPr="004829E3" w:rsidRDefault="00200D1C" w:rsidP="00200D1C">
      <w:pPr>
        <w:pStyle w:val="Default"/>
        <w:jc w:val="both"/>
        <w:rPr>
          <w:color w:val="auto"/>
          <w:sz w:val="22"/>
          <w:szCs w:val="22"/>
        </w:rPr>
      </w:pPr>
      <w:r w:rsidRPr="004829E3">
        <w:rPr>
          <w:color w:val="auto"/>
          <w:sz w:val="22"/>
          <w:szCs w:val="22"/>
        </w:rPr>
        <w:t xml:space="preserve">Nessuna funzione aziendale deve dare o eseguire disposizioni in contrasto con i poteri conferiti, pertanto: </w:t>
      </w:r>
    </w:p>
    <w:p w14:paraId="682B1C91" w14:textId="0899B0B5" w:rsidR="00200D1C" w:rsidRPr="004829E3" w:rsidRDefault="00200D1C" w:rsidP="00200D1C">
      <w:pPr>
        <w:pStyle w:val="Default"/>
        <w:jc w:val="both"/>
        <w:rPr>
          <w:color w:val="auto"/>
          <w:sz w:val="22"/>
          <w:szCs w:val="22"/>
        </w:rPr>
      </w:pPr>
      <w:r w:rsidRPr="004829E3">
        <w:rPr>
          <w:color w:val="auto"/>
          <w:sz w:val="22"/>
          <w:szCs w:val="22"/>
        </w:rPr>
        <w:t xml:space="preserve">- è fatto divieto di eseguire disposizioni in assenza dell’autorizzazione del Responsabile </w:t>
      </w:r>
      <w:r w:rsidR="007D423E" w:rsidRPr="004829E3">
        <w:rPr>
          <w:color w:val="auto"/>
          <w:sz w:val="22"/>
          <w:szCs w:val="22"/>
        </w:rPr>
        <w:t>Affari generali e legali</w:t>
      </w:r>
      <w:r w:rsidR="00D64156" w:rsidRPr="004829E3">
        <w:rPr>
          <w:color w:val="auto"/>
          <w:sz w:val="22"/>
          <w:szCs w:val="22"/>
        </w:rPr>
        <w:t>/Responsabile Amministrativo facente funzioni.</w:t>
      </w:r>
    </w:p>
    <w:p w14:paraId="58F3CF6D" w14:textId="77777777" w:rsidR="00200D1C" w:rsidRPr="004829E3" w:rsidRDefault="00200D1C" w:rsidP="00200D1C">
      <w:pPr>
        <w:pStyle w:val="Default"/>
        <w:jc w:val="both"/>
        <w:rPr>
          <w:color w:val="auto"/>
          <w:sz w:val="22"/>
          <w:szCs w:val="22"/>
        </w:rPr>
      </w:pPr>
      <w:r w:rsidRPr="004829E3">
        <w:rPr>
          <w:color w:val="auto"/>
          <w:sz w:val="22"/>
          <w:szCs w:val="22"/>
        </w:rPr>
        <w:t xml:space="preserve">- ogni disposizione generante un flusso finanziario deve essere tracciabile e trasparente in modo da consentire la verifica dei processi di decisione, autorizzazione e svolgimento; </w:t>
      </w:r>
    </w:p>
    <w:p w14:paraId="1C695FE4" w14:textId="77777777" w:rsidR="00200D1C" w:rsidRPr="004829E3" w:rsidRDefault="00200D1C" w:rsidP="00200D1C">
      <w:pPr>
        <w:pStyle w:val="Default"/>
        <w:jc w:val="both"/>
        <w:rPr>
          <w:color w:val="auto"/>
          <w:sz w:val="22"/>
          <w:szCs w:val="22"/>
        </w:rPr>
      </w:pPr>
      <w:r w:rsidRPr="004829E3">
        <w:rPr>
          <w:color w:val="auto"/>
          <w:sz w:val="22"/>
          <w:szCs w:val="22"/>
        </w:rPr>
        <w:t xml:space="preserve">- ciascuna disposizione deve essere supportata da documentazione adeguata, chiara e completa da conservare agli atti, in modo da consentire in ogni momento il controllo sulle motivazioni, le caratteristiche dell’operazione e l’individuazione dei soggetti che hanno eseguito l’operazione, che hanno concesso le autorizzazioni e che hanno effettuato le verifiche; </w:t>
      </w:r>
    </w:p>
    <w:p w14:paraId="119078C2" w14:textId="2150EA74" w:rsidR="00200D1C" w:rsidRPr="004829E3" w:rsidRDefault="00200D1C" w:rsidP="00200D1C">
      <w:pPr>
        <w:pStyle w:val="Default"/>
        <w:jc w:val="both"/>
        <w:rPr>
          <w:color w:val="auto"/>
          <w:sz w:val="22"/>
          <w:szCs w:val="22"/>
        </w:rPr>
      </w:pPr>
      <w:r w:rsidRPr="004829E3">
        <w:rPr>
          <w:color w:val="auto"/>
          <w:sz w:val="22"/>
          <w:szCs w:val="22"/>
        </w:rPr>
        <w:t xml:space="preserve">La </w:t>
      </w:r>
      <w:r w:rsidR="00B85361" w:rsidRPr="004829E3">
        <w:rPr>
          <w:color w:val="auto"/>
          <w:sz w:val="22"/>
          <w:szCs w:val="22"/>
        </w:rPr>
        <w:t>Fondazione</w:t>
      </w:r>
      <w:r w:rsidRPr="004829E3">
        <w:rPr>
          <w:color w:val="auto"/>
          <w:sz w:val="22"/>
          <w:szCs w:val="22"/>
        </w:rPr>
        <w:t xml:space="preserve"> è tenuta a conferire apposita delega scritta al soggetto che opera sul conto corrente bancario laddove diverso dall’intestatario dello stesso e/o dal soggetto dotato del potere di spesa. </w:t>
      </w:r>
    </w:p>
    <w:p w14:paraId="6E757687" w14:textId="6BE0A75F" w:rsidR="00200D1C" w:rsidRPr="004829E3" w:rsidRDefault="00200D1C" w:rsidP="00200D1C">
      <w:pPr>
        <w:pStyle w:val="Default"/>
        <w:jc w:val="both"/>
        <w:rPr>
          <w:color w:val="auto"/>
          <w:sz w:val="22"/>
          <w:szCs w:val="22"/>
        </w:rPr>
      </w:pPr>
      <w:r w:rsidRPr="004829E3">
        <w:rPr>
          <w:color w:val="auto"/>
          <w:sz w:val="22"/>
          <w:szCs w:val="22"/>
        </w:rPr>
        <w:t xml:space="preserve">La </w:t>
      </w:r>
      <w:r w:rsidR="00B85361" w:rsidRPr="004829E3">
        <w:rPr>
          <w:color w:val="auto"/>
          <w:sz w:val="22"/>
          <w:szCs w:val="22"/>
        </w:rPr>
        <w:t>Fondazione</w:t>
      </w:r>
      <w:r w:rsidRPr="004829E3">
        <w:rPr>
          <w:color w:val="auto"/>
          <w:sz w:val="22"/>
          <w:szCs w:val="22"/>
        </w:rPr>
        <w:t xml:space="preserve"> è tenuta a conferire apposita delega scritta agli eventuali soggetti autorizzati ad operare a mezzo home banking. </w:t>
      </w:r>
    </w:p>
    <w:p w14:paraId="2B5100E5" w14:textId="48AA5290" w:rsidR="00200D1C" w:rsidRPr="004829E3" w:rsidRDefault="00200D1C" w:rsidP="00200D1C">
      <w:pPr>
        <w:pStyle w:val="Default"/>
        <w:jc w:val="both"/>
        <w:rPr>
          <w:color w:val="auto"/>
          <w:sz w:val="22"/>
          <w:szCs w:val="22"/>
        </w:rPr>
      </w:pPr>
    </w:p>
    <w:p w14:paraId="492E2CE9" w14:textId="0B7DD53E" w:rsidR="00000EFB" w:rsidRPr="004829E3" w:rsidRDefault="00000EFB" w:rsidP="00200D1C">
      <w:pPr>
        <w:pStyle w:val="Default"/>
        <w:jc w:val="both"/>
        <w:rPr>
          <w:color w:val="auto"/>
          <w:sz w:val="22"/>
          <w:szCs w:val="22"/>
        </w:rPr>
      </w:pPr>
    </w:p>
    <w:p w14:paraId="756A62E4" w14:textId="77777777" w:rsidR="00000EFB" w:rsidRPr="004829E3" w:rsidRDefault="00000EFB" w:rsidP="00200D1C">
      <w:pPr>
        <w:pStyle w:val="Default"/>
        <w:jc w:val="both"/>
        <w:rPr>
          <w:color w:val="auto"/>
          <w:sz w:val="22"/>
          <w:szCs w:val="22"/>
        </w:rPr>
      </w:pPr>
    </w:p>
    <w:p w14:paraId="5D9C21BD" w14:textId="77777777" w:rsidR="00200D1C" w:rsidRPr="004829E3" w:rsidRDefault="00200D1C" w:rsidP="00200D1C">
      <w:pPr>
        <w:pStyle w:val="Default"/>
        <w:jc w:val="both"/>
        <w:rPr>
          <w:color w:val="auto"/>
          <w:sz w:val="22"/>
          <w:szCs w:val="22"/>
        </w:rPr>
      </w:pPr>
      <w:r w:rsidRPr="004829E3">
        <w:rPr>
          <w:i/>
          <w:iCs/>
          <w:color w:val="auto"/>
          <w:sz w:val="22"/>
          <w:szCs w:val="22"/>
        </w:rPr>
        <w:t xml:space="preserve">2) modalità di circolazione delle finanze e gestione della cassa contanti </w:t>
      </w:r>
    </w:p>
    <w:p w14:paraId="49C7339D" w14:textId="77777777" w:rsidR="00200D1C" w:rsidRPr="004829E3" w:rsidRDefault="00200D1C" w:rsidP="00200D1C">
      <w:pPr>
        <w:rPr>
          <w:rFonts w:ascii="Arial" w:hAnsi="Arial" w:cs="Arial"/>
        </w:rPr>
      </w:pPr>
    </w:p>
    <w:p w14:paraId="7A13F3B6" w14:textId="0FE07E98" w:rsidR="00200D1C" w:rsidRPr="004829E3" w:rsidRDefault="00200D1C" w:rsidP="00200D1C">
      <w:pPr>
        <w:pStyle w:val="Default"/>
        <w:jc w:val="both"/>
        <w:rPr>
          <w:color w:val="auto"/>
          <w:sz w:val="22"/>
          <w:szCs w:val="22"/>
        </w:rPr>
      </w:pPr>
      <w:r w:rsidRPr="004829E3">
        <w:rPr>
          <w:color w:val="auto"/>
          <w:sz w:val="22"/>
          <w:szCs w:val="22"/>
        </w:rPr>
        <w:t xml:space="preserve">- è fatto divieto di </w:t>
      </w:r>
      <w:r w:rsidR="00906982" w:rsidRPr="004829E3">
        <w:rPr>
          <w:color w:val="auto"/>
          <w:sz w:val="22"/>
          <w:szCs w:val="22"/>
        </w:rPr>
        <w:t>tenere casse conto deposito ospiti in denaro contante di importo superiore ad euro trecento</w:t>
      </w:r>
      <w:r w:rsidRPr="004829E3">
        <w:rPr>
          <w:color w:val="auto"/>
          <w:sz w:val="22"/>
          <w:szCs w:val="22"/>
        </w:rPr>
        <w:t xml:space="preserve">; </w:t>
      </w:r>
    </w:p>
    <w:p w14:paraId="6A79799C" w14:textId="77777777" w:rsidR="00200D1C" w:rsidRPr="004829E3" w:rsidRDefault="00200D1C" w:rsidP="00200D1C">
      <w:pPr>
        <w:pStyle w:val="Default"/>
        <w:jc w:val="both"/>
        <w:rPr>
          <w:color w:val="auto"/>
          <w:sz w:val="22"/>
          <w:szCs w:val="22"/>
        </w:rPr>
      </w:pPr>
      <w:r w:rsidRPr="004829E3">
        <w:rPr>
          <w:color w:val="auto"/>
          <w:sz w:val="22"/>
          <w:szCs w:val="22"/>
        </w:rPr>
        <w:t xml:space="preserve">- è fatto obbligo di tenere una prima nota contabile intellegibile, consultabile ed utilizzabile al fine della verifica delle giacenze effettive in relazione a quelle contabili; </w:t>
      </w:r>
    </w:p>
    <w:p w14:paraId="513B5679" w14:textId="36666DC3" w:rsidR="00200D1C" w:rsidRPr="004829E3" w:rsidRDefault="00200D1C" w:rsidP="00200D1C">
      <w:pPr>
        <w:pStyle w:val="Default"/>
        <w:jc w:val="both"/>
        <w:rPr>
          <w:color w:val="auto"/>
          <w:sz w:val="22"/>
          <w:szCs w:val="22"/>
        </w:rPr>
      </w:pPr>
      <w:r w:rsidRPr="004829E3">
        <w:rPr>
          <w:color w:val="auto"/>
          <w:sz w:val="22"/>
          <w:szCs w:val="22"/>
        </w:rPr>
        <w:t xml:space="preserve">- tenere foglio cassa contanti dettagliato; </w:t>
      </w:r>
    </w:p>
    <w:p w14:paraId="6C714303" w14:textId="77777777" w:rsidR="00200D1C" w:rsidRPr="004829E3" w:rsidRDefault="00200D1C" w:rsidP="00200D1C">
      <w:pPr>
        <w:pStyle w:val="Default"/>
        <w:jc w:val="both"/>
        <w:rPr>
          <w:color w:val="auto"/>
          <w:sz w:val="22"/>
          <w:szCs w:val="22"/>
        </w:rPr>
      </w:pPr>
      <w:r w:rsidRPr="004829E3">
        <w:rPr>
          <w:color w:val="auto"/>
          <w:sz w:val="22"/>
          <w:szCs w:val="22"/>
        </w:rPr>
        <w:t xml:space="preserve">- è fatto obbligo di archiviare tutti i documenti contabili in entrata ed in uscita giustificativi di tutte le operazioni finanziarie, a prescindere dal mezzo di pagamento; </w:t>
      </w:r>
    </w:p>
    <w:p w14:paraId="5024A8E0" w14:textId="77777777" w:rsidR="00200D1C" w:rsidRPr="004829E3" w:rsidRDefault="00200D1C" w:rsidP="00200D1C">
      <w:pPr>
        <w:pStyle w:val="Default"/>
        <w:jc w:val="both"/>
        <w:rPr>
          <w:color w:val="auto"/>
          <w:sz w:val="22"/>
          <w:szCs w:val="22"/>
        </w:rPr>
      </w:pPr>
      <w:r w:rsidRPr="004829E3">
        <w:rPr>
          <w:color w:val="auto"/>
          <w:sz w:val="22"/>
          <w:szCs w:val="22"/>
        </w:rPr>
        <w:t xml:space="preserve">- è fatto divieto di eseguire movimenti finanziari in assenza di previo documento contabile giustificativo debitamente approvato. </w:t>
      </w:r>
    </w:p>
    <w:p w14:paraId="296F6AAD" w14:textId="00799DBC" w:rsidR="00200D1C" w:rsidRPr="004829E3" w:rsidRDefault="00200D1C" w:rsidP="00200D1C">
      <w:pPr>
        <w:pStyle w:val="Default"/>
        <w:jc w:val="both"/>
        <w:rPr>
          <w:color w:val="auto"/>
          <w:sz w:val="22"/>
          <w:szCs w:val="22"/>
        </w:rPr>
      </w:pPr>
      <w:r w:rsidRPr="004829E3">
        <w:rPr>
          <w:color w:val="auto"/>
          <w:sz w:val="22"/>
          <w:szCs w:val="22"/>
        </w:rPr>
        <w:t xml:space="preserve">In caso di ricezione di banconota o moneta sospetta di falso, sarà specifico obbligo avvisare </w:t>
      </w:r>
      <w:r w:rsidR="001834BC" w:rsidRPr="004829E3">
        <w:rPr>
          <w:color w:val="auto"/>
          <w:sz w:val="22"/>
          <w:szCs w:val="22"/>
        </w:rPr>
        <w:t xml:space="preserve">il Responsabile Affari generali e legali/Responsabile Amministrativo facente funzioni. </w:t>
      </w:r>
      <w:r w:rsidRPr="004829E3">
        <w:rPr>
          <w:color w:val="auto"/>
          <w:sz w:val="22"/>
          <w:szCs w:val="22"/>
        </w:rPr>
        <w:t>che dovrà a sua volta dare comunicazione al Presidente del CDA e all’</w:t>
      </w:r>
      <w:proofErr w:type="spellStart"/>
      <w:r w:rsidRPr="004829E3">
        <w:rPr>
          <w:color w:val="auto"/>
          <w:sz w:val="22"/>
          <w:szCs w:val="22"/>
        </w:rPr>
        <w:t>Odv</w:t>
      </w:r>
      <w:proofErr w:type="spellEnd"/>
      <w:r w:rsidRPr="004829E3">
        <w:rPr>
          <w:color w:val="auto"/>
          <w:sz w:val="22"/>
          <w:szCs w:val="22"/>
        </w:rPr>
        <w:t xml:space="preserve">. </w:t>
      </w:r>
    </w:p>
    <w:p w14:paraId="325C2566" w14:textId="77777777" w:rsidR="00200D1C" w:rsidRPr="004829E3" w:rsidRDefault="00200D1C" w:rsidP="00200D1C">
      <w:pPr>
        <w:pStyle w:val="Default"/>
        <w:jc w:val="both"/>
        <w:rPr>
          <w:color w:val="auto"/>
          <w:sz w:val="22"/>
          <w:szCs w:val="22"/>
        </w:rPr>
      </w:pPr>
    </w:p>
    <w:p w14:paraId="14137686" w14:textId="77777777" w:rsidR="00200D1C" w:rsidRPr="004829E3" w:rsidRDefault="00200D1C" w:rsidP="00200D1C">
      <w:pPr>
        <w:pStyle w:val="Default"/>
        <w:jc w:val="both"/>
        <w:rPr>
          <w:i/>
          <w:iCs/>
          <w:color w:val="auto"/>
          <w:sz w:val="22"/>
          <w:szCs w:val="22"/>
        </w:rPr>
      </w:pPr>
      <w:r w:rsidRPr="004829E3">
        <w:rPr>
          <w:i/>
          <w:iCs/>
          <w:color w:val="auto"/>
          <w:sz w:val="22"/>
          <w:szCs w:val="22"/>
        </w:rPr>
        <w:t xml:space="preserve">3) controllo della gestione dei flussi finanziari </w:t>
      </w:r>
    </w:p>
    <w:p w14:paraId="49B6BC8F" w14:textId="77777777" w:rsidR="00200D1C" w:rsidRPr="004829E3" w:rsidRDefault="00200D1C" w:rsidP="00200D1C">
      <w:pPr>
        <w:pStyle w:val="Default"/>
        <w:jc w:val="both"/>
        <w:rPr>
          <w:color w:val="auto"/>
          <w:sz w:val="22"/>
          <w:szCs w:val="22"/>
        </w:rPr>
      </w:pPr>
    </w:p>
    <w:p w14:paraId="026C978A" w14:textId="77777777" w:rsidR="00200D1C" w:rsidRPr="004829E3" w:rsidRDefault="00200D1C" w:rsidP="00200D1C">
      <w:pPr>
        <w:pStyle w:val="Default"/>
        <w:jc w:val="both"/>
        <w:rPr>
          <w:color w:val="auto"/>
          <w:sz w:val="22"/>
          <w:szCs w:val="22"/>
        </w:rPr>
      </w:pPr>
      <w:proofErr w:type="gramStart"/>
      <w:r w:rsidRPr="004829E3">
        <w:rPr>
          <w:color w:val="auto"/>
          <w:sz w:val="22"/>
          <w:szCs w:val="22"/>
        </w:rPr>
        <w:t>E’</w:t>
      </w:r>
      <w:proofErr w:type="gramEnd"/>
      <w:r w:rsidRPr="004829E3">
        <w:rPr>
          <w:color w:val="auto"/>
          <w:sz w:val="22"/>
          <w:szCs w:val="22"/>
        </w:rPr>
        <w:t xml:space="preserve"> fatto obbligo di: </w:t>
      </w:r>
    </w:p>
    <w:p w14:paraId="1AFE3797" w14:textId="77777777" w:rsidR="00200D1C" w:rsidRPr="004829E3" w:rsidRDefault="00200D1C" w:rsidP="00200D1C">
      <w:pPr>
        <w:pStyle w:val="Default"/>
        <w:jc w:val="both"/>
        <w:rPr>
          <w:color w:val="auto"/>
          <w:sz w:val="22"/>
          <w:szCs w:val="22"/>
        </w:rPr>
      </w:pPr>
      <w:r w:rsidRPr="004829E3">
        <w:rPr>
          <w:color w:val="auto"/>
          <w:sz w:val="22"/>
          <w:szCs w:val="22"/>
        </w:rPr>
        <w:t xml:space="preserve">- tenere una prima nota contabile con tutte le operazioni giornaliere, specificante le causali di movimento, i soggetti titolari del rapporto, la modalità di avvenuta circolazione delle finanze; </w:t>
      </w:r>
    </w:p>
    <w:p w14:paraId="25A76703" w14:textId="77777777" w:rsidR="00200D1C" w:rsidRPr="004829E3" w:rsidRDefault="00200D1C" w:rsidP="00200D1C">
      <w:pPr>
        <w:pStyle w:val="Default"/>
        <w:jc w:val="both"/>
        <w:rPr>
          <w:color w:val="auto"/>
          <w:sz w:val="22"/>
          <w:szCs w:val="22"/>
        </w:rPr>
      </w:pPr>
      <w:r w:rsidRPr="004829E3">
        <w:rPr>
          <w:color w:val="auto"/>
          <w:sz w:val="22"/>
          <w:szCs w:val="22"/>
        </w:rPr>
        <w:t xml:space="preserve">- tenere foglio cassa contanti dettagliato e quadrato mensilmente; </w:t>
      </w:r>
    </w:p>
    <w:p w14:paraId="2227AFB0" w14:textId="25F0F13F" w:rsidR="00200D1C" w:rsidRPr="004829E3" w:rsidRDefault="00200D1C" w:rsidP="00200D1C">
      <w:pPr>
        <w:pStyle w:val="Default"/>
        <w:jc w:val="both"/>
        <w:rPr>
          <w:color w:val="auto"/>
          <w:sz w:val="22"/>
          <w:szCs w:val="22"/>
        </w:rPr>
      </w:pPr>
      <w:r w:rsidRPr="004829E3">
        <w:rPr>
          <w:color w:val="auto"/>
          <w:sz w:val="22"/>
          <w:szCs w:val="22"/>
        </w:rPr>
        <w:t xml:space="preserve">- tenere elenco dei conti correnti riferibili alla </w:t>
      </w:r>
      <w:r w:rsidR="00B85361" w:rsidRPr="004829E3">
        <w:rPr>
          <w:color w:val="auto"/>
          <w:sz w:val="22"/>
          <w:szCs w:val="22"/>
        </w:rPr>
        <w:t>Fondazione</w:t>
      </w:r>
      <w:r w:rsidRPr="004829E3">
        <w:rPr>
          <w:color w:val="auto"/>
          <w:sz w:val="22"/>
          <w:szCs w:val="22"/>
        </w:rPr>
        <w:t xml:space="preserve">; </w:t>
      </w:r>
    </w:p>
    <w:p w14:paraId="678BC55B" w14:textId="3B5DB77E" w:rsidR="00200D1C" w:rsidRPr="004829E3" w:rsidRDefault="00200D1C" w:rsidP="00200D1C">
      <w:pPr>
        <w:pStyle w:val="Default"/>
        <w:jc w:val="both"/>
        <w:rPr>
          <w:color w:val="auto"/>
          <w:sz w:val="22"/>
          <w:szCs w:val="22"/>
        </w:rPr>
      </w:pPr>
      <w:r w:rsidRPr="004829E3">
        <w:rPr>
          <w:color w:val="auto"/>
          <w:sz w:val="22"/>
          <w:szCs w:val="22"/>
        </w:rPr>
        <w:lastRenderedPageBreak/>
        <w:t xml:space="preserve">- richiedere ed ottenere mensilmente estratto conto agli istituti di credito concernente i conti correnti della </w:t>
      </w:r>
      <w:r w:rsidR="00B85361" w:rsidRPr="004829E3">
        <w:rPr>
          <w:color w:val="auto"/>
          <w:sz w:val="22"/>
          <w:szCs w:val="22"/>
        </w:rPr>
        <w:t>Fondazione</w:t>
      </w:r>
      <w:r w:rsidRPr="004829E3">
        <w:rPr>
          <w:color w:val="auto"/>
          <w:sz w:val="22"/>
          <w:szCs w:val="22"/>
        </w:rPr>
        <w:t xml:space="preserve">; </w:t>
      </w:r>
    </w:p>
    <w:p w14:paraId="781F2CC4" w14:textId="77777777" w:rsidR="00200D1C" w:rsidRPr="004829E3" w:rsidRDefault="00200D1C" w:rsidP="00200D1C">
      <w:pPr>
        <w:pStyle w:val="Default"/>
        <w:jc w:val="both"/>
        <w:rPr>
          <w:color w:val="auto"/>
          <w:sz w:val="22"/>
          <w:szCs w:val="22"/>
        </w:rPr>
      </w:pPr>
      <w:r w:rsidRPr="004829E3">
        <w:rPr>
          <w:color w:val="auto"/>
          <w:sz w:val="22"/>
          <w:szCs w:val="22"/>
        </w:rPr>
        <w:t xml:space="preserve">- effettuare riconciliazione cassa/banca; </w:t>
      </w:r>
    </w:p>
    <w:p w14:paraId="5F054CF1" w14:textId="77777777" w:rsidR="00200D1C" w:rsidRPr="004829E3" w:rsidRDefault="00200D1C" w:rsidP="00200D1C">
      <w:pPr>
        <w:pStyle w:val="Default"/>
        <w:jc w:val="both"/>
        <w:rPr>
          <w:color w:val="auto"/>
          <w:sz w:val="22"/>
          <w:szCs w:val="22"/>
        </w:rPr>
      </w:pPr>
      <w:r w:rsidRPr="004829E3">
        <w:rPr>
          <w:color w:val="auto"/>
          <w:sz w:val="22"/>
          <w:szCs w:val="22"/>
        </w:rPr>
        <w:t xml:space="preserve">- ove richiesto a campione dall’ODV, esibire la documentazione di cui sopra; </w:t>
      </w:r>
    </w:p>
    <w:p w14:paraId="6965AF90" w14:textId="2AE1E5D6" w:rsidR="00200D1C" w:rsidRPr="004829E3" w:rsidRDefault="00200D1C" w:rsidP="00200D1C">
      <w:pPr>
        <w:pStyle w:val="Default"/>
        <w:jc w:val="both"/>
        <w:rPr>
          <w:color w:val="auto"/>
          <w:sz w:val="22"/>
          <w:szCs w:val="22"/>
        </w:rPr>
      </w:pPr>
      <w:r w:rsidRPr="004829E3">
        <w:rPr>
          <w:color w:val="auto"/>
          <w:sz w:val="22"/>
          <w:szCs w:val="22"/>
        </w:rPr>
        <w:t>- ove richiesto a campione dall’ODV, esibire i contratti originanti le obbligazioni di pagamento adempiute</w:t>
      </w:r>
      <w:r w:rsidR="005B058A" w:rsidRPr="004829E3">
        <w:rPr>
          <w:color w:val="auto"/>
          <w:sz w:val="22"/>
          <w:szCs w:val="22"/>
        </w:rPr>
        <w:t>.</w:t>
      </w:r>
    </w:p>
    <w:p w14:paraId="373AFDF0" w14:textId="6D2CA6B1" w:rsidR="005B058A" w:rsidRPr="004829E3" w:rsidRDefault="005B058A" w:rsidP="00200D1C">
      <w:pPr>
        <w:pStyle w:val="Default"/>
        <w:jc w:val="both"/>
        <w:rPr>
          <w:color w:val="auto"/>
          <w:sz w:val="22"/>
          <w:szCs w:val="22"/>
        </w:rPr>
      </w:pPr>
    </w:p>
    <w:p w14:paraId="5E8C0F94" w14:textId="77777777" w:rsidR="005B058A" w:rsidRPr="004829E3" w:rsidRDefault="005B058A" w:rsidP="005B058A">
      <w:pPr>
        <w:pStyle w:val="Default"/>
        <w:jc w:val="both"/>
        <w:rPr>
          <w:color w:val="auto"/>
          <w:sz w:val="22"/>
          <w:szCs w:val="22"/>
        </w:rPr>
      </w:pPr>
      <w:r w:rsidRPr="004829E3">
        <w:rPr>
          <w:color w:val="auto"/>
          <w:sz w:val="22"/>
          <w:szCs w:val="22"/>
        </w:rPr>
        <w:t>Per quel che concerne i flussi afferenti ai rapporti di consulenza e fornitura,</w:t>
      </w:r>
      <w:r w:rsidRPr="004829E3">
        <w:rPr>
          <w:i/>
          <w:iCs/>
          <w:color w:val="auto"/>
          <w:sz w:val="22"/>
          <w:szCs w:val="22"/>
        </w:rPr>
        <w:t xml:space="preserve"> </w:t>
      </w:r>
      <w:r w:rsidRPr="004829E3">
        <w:rPr>
          <w:color w:val="auto"/>
          <w:sz w:val="22"/>
          <w:szCs w:val="22"/>
        </w:rPr>
        <w:t xml:space="preserve">è fatto obbligo per la Fondazione di: </w:t>
      </w:r>
    </w:p>
    <w:p w14:paraId="3E3E816C" w14:textId="77777777" w:rsidR="005B058A" w:rsidRPr="004829E3" w:rsidRDefault="005B058A" w:rsidP="005B058A">
      <w:pPr>
        <w:pStyle w:val="Default"/>
        <w:jc w:val="both"/>
        <w:rPr>
          <w:i/>
          <w:iCs/>
          <w:color w:val="auto"/>
          <w:sz w:val="22"/>
          <w:szCs w:val="22"/>
        </w:rPr>
      </w:pPr>
    </w:p>
    <w:p w14:paraId="7EF7F235" w14:textId="77777777" w:rsidR="005B058A" w:rsidRPr="004829E3" w:rsidRDefault="005B058A" w:rsidP="005B058A">
      <w:pPr>
        <w:pStyle w:val="Default"/>
        <w:jc w:val="both"/>
        <w:rPr>
          <w:color w:val="auto"/>
          <w:sz w:val="22"/>
          <w:szCs w:val="22"/>
        </w:rPr>
      </w:pPr>
      <w:r w:rsidRPr="004829E3">
        <w:rPr>
          <w:color w:val="auto"/>
          <w:sz w:val="22"/>
          <w:szCs w:val="22"/>
        </w:rPr>
        <w:t xml:space="preserve">- predisporre un elenco dei contratti di consulenza, da aggiornarsi ad ogni variazione; </w:t>
      </w:r>
    </w:p>
    <w:p w14:paraId="0913E3A1" w14:textId="77777777" w:rsidR="005B058A" w:rsidRPr="004829E3" w:rsidRDefault="005B058A" w:rsidP="005B058A">
      <w:pPr>
        <w:pStyle w:val="Default"/>
        <w:jc w:val="both"/>
        <w:rPr>
          <w:color w:val="auto"/>
          <w:sz w:val="22"/>
          <w:szCs w:val="22"/>
        </w:rPr>
      </w:pPr>
      <w:r w:rsidRPr="004829E3">
        <w:rPr>
          <w:color w:val="auto"/>
          <w:sz w:val="22"/>
          <w:szCs w:val="22"/>
        </w:rPr>
        <w:t xml:space="preserve">- archiviare i documenti relativi a dette prestazioni di consulenza quali: </w:t>
      </w:r>
    </w:p>
    <w:p w14:paraId="5B103B14" w14:textId="77777777" w:rsidR="005B058A" w:rsidRPr="004829E3" w:rsidRDefault="005B058A" w:rsidP="005B058A">
      <w:pPr>
        <w:pStyle w:val="Default"/>
        <w:numPr>
          <w:ilvl w:val="0"/>
          <w:numId w:val="13"/>
        </w:numPr>
        <w:spacing w:after="30"/>
        <w:jc w:val="both"/>
        <w:rPr>
          <w:color w:val="auto"/>
          <w:sz w:val="22"/>
          <w:szCs w:val="22"/>
        </w:rPr>
      </w:pPr>
      <w:r w:rsidRPr="004829E3">
        <w:rPr>
          <w:color w:val="auto"/>
          <w:sz w:val="22"/>
          <w:szCs w:val="22"/>
        </w:rPr>
        <w:t xml:space="preserve">il contratto; </w:t>
      </w:r>
    </w:p>
    <w:p w14:paraId="18B752D2" w14:textId="77777777" w:rsidR="005B058A" w:rsidRPr="004829E3" w:rsidRDefault="005B058A" w:rsidP="005B058A">
      <w:pPr>
        <w:pStyle w:val="Default"/>
        <w:numPr>
          <w:ilvl w:val="0"/>
          <w:numId w:val="13"/>
        </w:numPr>
        <w:spacing w:after="30"/>
        <w:jc w:val="both"/>
        <w:rPr>
          <w:color w:val="auto"/>
          <w:sz w:val="22"/>
          <w:szCs w:val="22"/>
        </w:rPr>
      </w:pPr>
      <w:r w:rsidRPr="004829E3">
        <w:rPr>
          <w:color w:val="auto"/>
          <w:sz w:val="22"/>
          <w:szCs w:val="22"/>
        </w:rPr>
        <w:t xml:space="preserve">le fatture/parcelle; </w:t>
      </w:r>
    </w:p>
    <w:p w14:paraId="4BF112FD" w14:textId="16002C1E" w:rsidR="005B058A" w:rsidRPr="004829E3" w:rsidRDefault="005B058A" w:rsidP="005B058A">
      <w:pPr>
        <w:pStyle w:val="Default"/>
        <w:numPr>
          <w:ilvl w:val="0"/>
          <w:numId w:val="13"/>
        </w:numPr>
        <w:jc w:val="both"/>
        <w:rPr>
          <w:color w:val="auto"/>
          <w:sz w:val="22"/>
          <w:szCs w:val="22"/>
        </w:rPr>
      </w:pPr>
      <w:r w:rsidRPr="004829E3">
        <w:rPr>
          <w:color w:val="auto"/>
          <w:sz w:val="22"/>
          <w:szCs w:val="22"/>
        </w:rPr>
        <w:t xml:space="preserve">le disposizioni di bonifico effettuate. </w:t>
      </w:r>
    </w:p>
    <w:p w14:paraId="1FA9296E" w14:textId="37A73315" w:rsidR="00052B0B" w:rsidRPr="004829E3" w:rsidRDefault="00052B0B" w:rsidP="00052B0B">
      <w:pPr>
        <w:pStyle w:val="Default"/>
        <w:jc w:val="both"/>
        <w:rPr>
          <w:color w:val="auto"/>
          <w:sz w:val="22"/>
          <w:szCs w:val="22"/>
        </w:rPr>
      </w:pPr>
    </w:p>
    <w:p w14:paraId="7A723F6F" w14:textId="77777777" w:rsidR="005B058A" w:rsidRPr="004829E3" w:rsidRDefault="005B058A" w:rsidP="005B058A">
      <w:pPr>
        <w:pStyle w:val="Default"/>
        <w:jc w:val="both"/>
        <w:rPr>
          <w:color w:val="auto"/>
          <w:sz w:val="22"/>
          <w:szCs w:val="22"/>
        </w:rPr>
      </w:pPr>
    </w:p>
    <w:p w14:paraId="0BF88920" w14:textId="77777777" w:rsidR="005B058A" w:rsidRPr="004829E3" w:rsidRDefault="005B058A" w:rsidP="005B058A">
      <w:pPr>
        <w:pStyle w:val="Default"/>
        <w:jc w:val="both"/>
        <w:rPr>
          <w:color w:val="auto"/>
          <w:sz w:val="22"/>
          <w:szCs w:val="22"/>
        </w:rPr>
      </w:pPr>
    </w:p>
    <w:p w14:paraId="58B15795" w14:textId="77777777" w:rsidR="005B058A" w:rsidRPr="004829E3" w:rsidRDefault="005B058A" w:rsidP="005B058A">
      <w:pPr>
        <w:pStyle w:val="Default"/>
        <w:jc w:val="both"/>
        <w:rPr>
          <w:color w:val="auto"/>
          <w:sz w:val="22"/>
          <w:szCs w:val="22"/>
        </w:rPr>
      </w:pPr>
      <w:r w:rsidRPr="004829E3">
        <w:rPr>
          <w:color w:val="auto"/>
          <w:sz w:val="22"/>
          <w:szCs w:val="22"/>
        </w:rPr>
        <w:t xml:space="preserve">Ove richiesto dall’ODV, è necessario esibire la documentazione di cui sopra; l’ODV ha facoltà di acquisire elementi in ordine al rapporto sottostante alla fatturazione. </w:t>
      </w:r>
    </w:p>
    <w:p w14:paraId="6503D194" w14:textId="77777777" w:rsidR="005B058A" w:rsidRPr="004829E3" w:rsidRDefault="005B058A" w:rsidP="00200D1C">
      <w:pPr>
        <w:pStyle w:val="Default"/>
        <w:jc w:val="both"/>
        <w:rPr>
          <w:color w:val="auto"/>
          <w:sz w:val="22"/>
          <w:szCs w:val="22"/>
        </w:rPr>
      </w:pPr>
    </w:p>
    <w:p w14:paraId="76578FE3" w14:textId="77777777" w:rsidR="007D423E" w:rsidRPr="004829E3" w:rsidRDefault="007D423E" w:rsidP="00200D1C">
      <w:pPr>
        <w:pStyle w:val="Default"/>
        <w:jc w:val="both"/>
        <w:rPr>
          <w:color w:val="auto"/>
          <w:sz w:val="22"/>
          <w:szCs w:val="22"/>
        </w:rPr>
      </w:pPr>
    </w:p>
    <w:p w14:paraId="1A11A683" w14:textId="77777777" w:rsidR="00200D1C" w:rsidRPr="004829E3" w:rsidRDefault="00200D1C" w:rsidP="00200D1C">
      <w:pPr>
        <w:pStyle w:val="Default"/>
        <w:jc w:val="both"/>
        <w:rPr>
          <w:color w:val="auto"/>
          <w:sz w:val="22"/>
          <w:szCs w:val="22"/>
        </w:rPr>
      </w:pPr>
    </w:p>
    <w:p w14:paraId="322DBEF1" w14:textId="55E42E7D" w:rsidR="00200D1C" w:rsidRPr="004829E3" w:rsidRDefault="00000EFB" w:rsidP="00200D1C">
      <w:pPr>
        <w:pStyle w:val="Default"/>
        <w:jc w:val="both"/>
        <w:rPr>
          <w:i/>
          <w:iCs/>
          <w:color w:val="auto"/>
          <w:sz w:val="22"/>
          <w:szCs w:val="22"/>
        </w:rPr>
      </w:pPr>
      <w:r w:rsidRPr="004829E3">
        <w:rPr>
          <w:color w:val="auto"/>
          <w:sz w:val="22"/>
          <w:szCs w:val="22"/>
        </w:rPr>
        <w:t>4</w:t>
      </w:r>
      <w:r w:rsidR="00200D1C" w:rsidRPr="004829E3">
        <w:rPr>
          <w:color w:val="auto"/>
          <w:sz w:val="22"/>
          <w:szCs w:val="22"/>
        </w:rPr>
        <w:t xml:space="preserve">) </w:t>
      </w:r>
      <w:r w:rsidR="00200D1C" w:rsidRPr="004829E3">
        <w:rPr>
          <w:i/>
          <w:iCs/>
          <w:color w:val="auto"/>
          <w:sz w:val="22"/>
          <w:szCs w:val="22"/>
        </w:rPr>
        <w:t xml:space="preserve">normativa antiriciclaggio </w:t>
      </w:r>
    </w:p>
    <w:p w14:paraId="2002E4BE" w14:textId="77777777" w:rsidR="00200D1C" w:rsidRPr="004829E3" w:rsidRDefault="00200D1C" w:rsidP="00200D1C">
      <w:pPr>
        <w:pStyle w:val="Default"/>
        <w:jc w:val="both"/>
        <w:rPr>
          <w:color w:val="auto"/>
          <w:sz w:val="22"/>
          <w:szCs w:val="22"/>
        </w:rPr>
      </w:pPr>
    </w:p>
    <w:p w14:paraId="2A0E018D" w14:textId="77777777" w:rsidR="00200D1C" w:rsidRPr="004829E3" w:rsidRDefault="00200D1C" w:rsidP="00200D1C">
      <w:pPr>
        <w:pStyle w:val="Default"/>
        <w:jc w:val="both"/>
        <w:rPr>
          <w:color w:val="auto"/>
          <w:sz w:val="22"/>
          <w:szCs w:val="22"/>
        </w:rPr>
      </w:pPr>
      <w:r w:rsidRPr="004829E3">
        <w:rPr>
          <w:color w:val="auto"/>
          <w:sz w:val="22"/>
          <w:szCs w:val="22"/>
        </w:rPr>
        <w:t xml:space="preserve">La gestione del sistema finanziario deve avvenire secondo la normativa vigente, prendendo altresì in considerazione i principi dettati dal </w:t>
      </w:r>
      <w:proofErr w:type="spellStart"/>
      <w:r w:rsidRPr="004829E3">
        <w:rPr>
          <w:color w:val="auto"/>
          <w:sz w:val="22"/>
          <w:szCs w:val="22"/>
        </w:rPr>
        <w:t>d.lgs</w:t>
      </w:r>
      <w:proofErr w:type="spellEnd"/>
      <w:r w:rsidRPr="004829E3">
        <w:rPr>
          <w:color w:val="auto"/>
          <w:sz w:val="22"/>
          <w:szCs w:val="22"/>
        </w:rPr>
        <w:t xml:space="preserve"> 90/2017, concernente la prevenzione nell’utilizzo del sistema medesimo a scopo di riciclaggio dei proventi di </w:t>
      </w:r>
    </w:p>
    <w:p w14:paraId="765E3E5C" w14:textId="77777777" w:rsidR="00200D1C" w:rsidRPr="004829E3" w:rsidRDefault="00200D1C" w:rsidP="00200D1C">
      <w:pPr>
        <w:pStyle w:val="Default"/>
        <w:jc w:val="both"/>
        <w:rPr>
          <w:color w:val="auto"/>
          <w:sz w:val="22"/>
          <w:szCs w:val="22"/>
        </w:rPr>
      </w:pPr>
      <w:r w:rsidRPr="004829E3">
        <w:rPr>
          <w:color w:val="auto"/>
          <w:sz w:val="22"/>
          <w:szCs w:val="22"/>
        </w:rPr>
        <w:t xml:space="preserve">attività criminose e di finanziamento del terrorismo, che offre possibili linee guida per la prevenzione dei suddetti reati. </w:t>
      </w:r>
    </w:p>
    <w:p w14:paraId="188B3BD9" w14:textId="77777777" w:rsidR="00200D1C" w:rsidRPr="004829E3" w:rsidRDefault="00200D1C" w:rsidP="00200D1C">
      <w:pPr>
        <w:jc w:val="both"/>
        <w:rPr>
          <w:rFonts w:ascii="Arial" w:hAnsi="Arial" w:cs="Arial"/>
        </w:rPr>
      </w:pPr>
      <w:r w:rsidRPr="004829E3">
        <w:rPr>
          <w:rFonts w:ascii="Arial" w:hAnsi="Arial" w:cs="Arial"/>
        </w:rPr>
        <w:t>Ai fini della prevenzione dei reati di cui al d.lgs. 90/2017, occorre segnatamente:</w:t>
      </w:r>
    </w:p>
    <w:p w14:paraId="3083A104" w14:textId="33F1C637" w:rsidR="00200D1C" w:rsidRPr="004829E3" w:rsidRDefault="00200D1C" w:rsidP="00200D1C">
      <w:pPr>
        <w:pStyle w:val="Default"/>
        <w:jc w:val="both"/>
        <w:rPr>
          <w:color w:val="auto"/>
          <w:sz w:val="22"/>
          <w:szCs w:val="22"/>
        </w:rPr>
      </w:pPr>
      <w:r w:rsidRPr="004829E3">
        <w:rPr>
          <w:color w:val="auto"/>
          <w:sz w:val="22"/>
          <w:szCs w:val="22"/>
        </w:rPr>
        <w:t>- vietare il trasferimento di denaro contante per somme superiori ad euro 1</w:t>
      </w:r>
      <w:r w:rsidR="007D423E" w:rsidRPr="004829E3">
        <w:rPr>
          <w:color w:val="auto"/>
          <w:sz w:val="22"/>
          <w:szCs w:val="22"/>
        </w:rPr>
        <w:t>5</w:t>
      </w:r>
      <w:r w:rsidRPr="004829E3">
        <w:rPr>
          <w:color w:val="auto"/>
          <w:sz w:val="22"/>
          <w:szCs w:val="22"/>
        </w:rPr>
        <w:t xml:space="preserve">00,00 (conformemente a quanto sopra sub b), effettuato a qualsiasi titolo tra soggetti diversi da banche, istituti di moneta elettronica e Poste Italiane S.p.A.; </w:t>
      </w:r>
    </w:p>
    <w:p w14:paraId="44C4DE3C" w14:textId="77777777" w:rsidR="00200D1C" w:rsidRPr="004829E3" w:rsidRDefault="00200D1C" w:rsidP="00200D1C">
      <w:pPr>
        <w:pStyle w:val="Default"/>
        <w:jc w:val="both"/>
        <w:rPr>
          <w:color w:val="auto"/>
          <w:sz w:val="22"/>
          <w:szCs w:val="22"/>
        </w:rPr>
      </w:pPr>
      <w:r w:rsidRPr="004829E3">
        <w:rPr>
          <w:color w:val="auto"/>
          <w:sz w:val="22"/>
          <w:szCs w:val="22"/>
        </w:rPr>
        <w:t xml:space="preserve">- emettere gli assegni bancari e postali con l’indicazione del nome o della ragione sociale del beneficiario e la clausola di non trasferibilità; </w:t>
      </w:r>
    </w:p>
    <w:p w14:paraId="4F8E7E16" w14:textId="77777777" w:rsidR="00200D1C" w:rsidRPr="004829E3" w:rsidRDefault="00200D1C" w:rsidP="00200D1C">
      <w:pPr>
        <w:pStyle w:val="Default"/>
        <w:jc w:val="both"/>
        <w:rPr>
          <w:color w:val="auto"/>
          <w:sz w:val="22"/>
          <w:szCs w:val="22"/>
        </w:rPr>
      </w:pPr>
      <w:r w:rsidRPr="004829E3">
        <w:rPr>
          <w:color w:val="auto"/>
          <w:sz w:val="22"/>
          <w:szCs w:val="22"/>
        </w:rPr>
        <w:t xml:space="preserve">- girare gli assegni bancari e postali emessi all’ordine del traente unicamente per l’incasso a una banca o a Poste Italiane S.p.A.; </w:t>
      </w:r>
    </w:p>
    <w:p w14:paraId="2887E71D" w14:textId="77777777" w:rsidR="00200D1C" w:rsidRPr="004829E3" w:rsidRDefault="00200D1C" w:rsidP="00200D1C">
      <w:pPr>
        <w:pStyle w:val="Default"/>
        <w:jc w:val="both"/>
        <w:rPr>
          <w:color w:val="auto"/>
          <w:sz w:val="22"/>
          <w:szCs w:val="22"/>
        </w:rPr>
      </w:pPr>
      <w:r w:rsidRPr="004829E3">
        <w:rPr>
          <w:color w:val="auto"/>
          <w:sz w:val="22"/>
          <w:szCs w:val="22"/>
        </w:rPr>
        <w:t xml:space="preserve">- emettere gli assegni circolari, vaglia postali o cambiari con l’indicazione del nome o della ragione sociale del beneficiario e la clausola di non trasferibilità; </w:t>
      </w:r>
    </w:p>
    <w:p w14:paraId="00BA0434" w14:textId="77777777" w:rsidR="00200D1C" w:rsidRPr="004829E3" w:rsidRDefault="00200D1C" w:rsidP="00200D1C">
      <w:pPr>
        <w:pStyle w:val="Default"/>
        <w:jc w:val="both"/>
        <w:rPr>
          <w:color w:val="auto"/>
          <w:sz w:val="22"/>
          <w:szCs w:val="22"/>
        </w:rPr>
      </w:pPr>
      <w:r w:rsidRPr="004829E3">
        <w:rPr>
          <w:color w:val="auto"/>
          <w:sz w:val="22"/>
          <w:szCs w:val="22"/>
        </w:rPr>
        <w:t xml:space="preserve">- vietare l’utilizzo, in qualunque forma, di conti o libretti di risparmio in forma anonima o con intestazione fittizia; </w:t>
      </w:r>
    </w:p>
    <w:p w14:paraId="7B3FE8FF" w14:textId="77777777" w:rsidR="00200D1C" w:rsidRPr="004829E3" w:rsidRDefault="00200D1C" w:rsidP="00200D1C">
      <w:pPr>
        <w:pStyle w:val="Default"/>
        <w:jc w:val="both"/>
        <w:rPr>
          <w:color w:val="auto"/>
          <w:sz w:val="22"/>
          <w:szCs w:val="22"/>
        </w:rPr>
      </w:pPr>
      <w:r w:rsidRPr="004829E3">
        <w:rPr>
          <w:color w:val="auto"/>
          <w:sz w:val="22"/>
          <w:szCs w:val="22"/>
        </w:rPr>
        <w:t xml:space="preserve">- vietare l’apertura, in qualunque forma, di conti o libretti di risparmio in forma anonima o con intestazione fittizia aperti presso Stati esteri. </w:t>
      </w:r>
    </w:p>
    <w:p w14:paraId="5DDA81FC" w14:textId="0D60CDF3" w:rsidR="00200D1C" w:rsidRPr="004829E3" w:rsidRDefault="00200D1C" w:rsidP="00200D1C">
      <w:pPr>
        <w:pStyle w:val="Default"/>
        <w:jc w:val="both"/>
        <w:rPr>
          <w:color w:val="auto"/>
          <w:sz w:val="22"/>
          <w:szCs w:val="22"/>
        </w:rPr>
      </w:pPr>
    </w:p>
    <w:p w14:paraId="55C9A656" w14:textId="33FF20E3" w:rsidR="00000EFB" w:rsidRPr="004829E3" w:rsidRDefault="00000EFB" w:rsidP="00200D1C">
      <w:pPr>
        <w:pStyle w:val="Default"/>
        <w:jc w:val="both"/>
        <w:rPr>
          <w:color w:val="auto"/>
          <w:sz w:val="22"/>
          <w:szCs w:val="22"/>
        </w:rPr>
      </w:pPr>
    </w:p>
    <w:p w14:paraId="5D9D70AA" w14:textId="7BF81F8B" w:rsidR="00000EFB" w:rsidRPr="004829E3" w:rsidRDefault="00000EFB" w:rsidP="00200D1C">
      <w:pPr>
        <w:pStyle w:val="Default"/>
        <w:jc w:val="both"/>
        <w:rPr>
          <w:color w:val="auto"/>
          <w:sz w:val="22"/>
          <w:szCs w:val="22"/>
        </w:rPr>
      </w:pPr>
    </w:p>
    <w:p w14:paraId="78DF0603" w14:textId="77777777" w:rsidR="00000EFB" w:rsidRPr="004829E3" w:rsidRDefault="00000EFB" w:rsidP="00200D1C">
      <w:pPr>
        <w:pStyle w:val="Default"/>
        <w:jc w:val="both"/>
        <w:rPr>
          <w:color w:val="auto"/>
          <w:sz w:val="22"/>
          <w:szCs w:val="22"/>
        </w:rPr>
      </w:pPr>
    </w:p>
    <w:p w14:paraId="22B995F6" w14:textId="0CCDA7C8" w:rsidR="00200D1C" w:rsidRPr="004829E3" w:rsidRDefault="00000EFB" w:rsidP="00200D1C">
      <w:pPr>
        <w:pStyle w:val="Default"/>
        <w:jc w:val="both"/>
        <w:rPr>
          <w:i/>
          <w:iCs/>
          <w:color w:val="auto"/>
          <w:sz w:val="22"/>
          <w:szCs w:val="22"/>
        </w:rPr>
      </w:pPr>
      <w:r w:rsidRPr="004829E3">
        <w:rPr>
          <w:i/>
          <w:iCs/>
          <w:color w:val="auto"/>
          <w:sz w:val="22"/>
          <w:szCs w:val="22"/>
        </w:rPr>
        <w:t>5</w:t>
      </w:r>
      <w:r w:rsidR="00200D1C" w:rsidRPr="004829E3">
        <w:rPr>
          <w:i/>
          <w:iCs/>
          <w:color w:val="auto"/>
          <w:sz w:val="22"/>
          <w:szCs w:val="22"/>
        </w:rPr>
        <w:t xml:space="preserve">) </w:t>
      </w:r>
      <w:r w:rsidR="00CB6258" w:rsidRPr="004829E3">
        <w:rPr>
          <w:i/>
          <w:iCs/>
          <w:color w:val="auto"/>
          <w:sz w:val="22"/>
          <w:szCs w:val="22"/>
        </w:rPr>
        <w:t xml:space="preserve">gestione </w:t>
      </w:r>
      <w:r w:rsidR="00200D1C" w:rsidRPr="004829E3">
        <w:rPr>
          <w:i/>
          <w:iCs/>
          <w:color w:val="auto"/>
          <w:sz w:val="22"/>
          <w:szCs w:val="22"/>
        </w:rPr>
        <w:t>spendita di contributi</w:t>
      </w:r>
      <w:r w:rsidR="00CB6258" w:rsidRPr="004829E3">
        <w:rPr>
          <w:i/>
          <w:iCs/>
          <w:color w:val="auto"/>
          <w:sz w:val="22"/>
          <w:szCs w:val="22"/>
        </w:rPr>
        <w:t xml:space="preserve">, sovvenzione e </w:t>
      </w:r>
      <w:r w:rsidR="00200D1C" w:rsidRPr="004829E3">
        <w:rPr>
          <w:i/>
          <w:iCs/>
          <w:color w:val="auto"/>
          <w:sz w:val="22"/>
          <w:szCs w:val="22"/>
        </w:rPr>
        <w:t>finanziament</w:t>
      </w:r>
      <w:r w:rsidR="00CB6258" w:rsidRPr="004829E3">
        <w:rPr>
          <w:i/>
          <w:iCs/>
          <w:color w:val="auto"/>
          <w:sz w:val="22"/>
          <w:szCs w:val="22"/>
        </w:rPr>
        <w:t>i nei confronti degli Enti Pubblici. Gestione dei contributi regionali</w:t>
      </w:r>
    </w:p>
    <w:p w14:paraId="44BACA0B" w14:textId="77777777" w:rsidR="00200D1C" w:rsidRPr="004829E3" w:rsidRDefault="00200D1C" w:rsidP="00200D1C">
      <w:pPr>
        <w:pStyle w:val="Default"/>
        <w:jc w:val="both"/>
        <w:rPr>
          <w:color w:val="auto"/>
          <w:sz w:val="22"/>
          <w:szCs w:val="22"/>
        </w:rPr>
      </w:pPr>
    </w:p>
    <w:p w14:paraId="4CE5F35E" w14:textId="03088099" w:rsidR="00200D1C" w:rsidRPr="004829E3" w:rsidRDefault="00200D1C" w:rsidP="00200D1C">
      <w:pPr>
        <w:pStyle w:val="Default"/>
        <w:jc w:val="both"/>
        <w:rPr>
          <w:color w:val="auto"/>
          <w:sz w:val="22"/>
          <w:szCs w:val="22"/>
        </w:rPr>
      </w:pPr>
      <w:r w:rsidRPr="004829E3">
        <w:rPr>
          <w:color w:val="auto"/>
          <w:sz w:val="22"/>
          <w:szCs w:val="22"/>
        </w:rPr>
        <w:t xml:space="preserve">La </w:t>
      </w:r>
      <w:r w:rsidR="00B85361" w:rsidRPr="004829E3">
        <w:rPr>
          <w:color w:val="auto"/>
          <w:sz w:val="22"/>
          <w:szCs w:val="22"/>
        </w:rPr>
        <w:t>Fondazione</w:t>
      </w:r>
      <w:r w:rsidRPr="004829E3">
        <w:rPr>
          <w:color w:val="auto"/>
          <w:sz w:val="22"/>
          <w:szCs w:val="22"/>
        </w:rPr>
        <w:t xml:space="preserve"> deve: </w:t>
      </w:r>
    </w:p>
    <w:p w14:paraId="2CB64227" w14:textId="77777777" w:rsidR="00200D1C" w:rsidRPr="004829E3" w:rsidRDefault="00200D1C" w:rsidP="00200D1C">
      <w:pPr>
        <w:pStyle w:val="Default"/>
        <w:jc w:val="both"/>
        <w:rPr>
          <w:color w:val="auto"/>
          <w:sz w:val="22"/>
          <w:szCs w:val="22"/>
        </w:rPr>
      </w:pPr>
      <w:r w:rsidRPr="004829E3">
        <w:rPr>
          <w:color w:val="auto"/>
          <w:sz w:val="22"/>
          <w:szCs w:val="22"/>
        </w:rPr>
        <w:t xml:space="preserve">- formare un fascicolo contenente la documentazione sottostante al flusso finanziario in entrata; </w:t>
      </w:r>
    </w:p>
    <w:p w14:paraId="6714A64F" w14:textId="77777777" w:rsidR="00200D1C" w:rsidRPr="004829E3" w:rsidRDefault="00200D1C" w:rsidP="00200D1C">
      <w:pPr>
        <w:pStyle w:val="Default"/>
        <w:jc w:val="both"/>
        <w:rPr>
          <w:color w:val="auto"/>
          <w:sz w:val="22"/>
          <w:szCs w:val="22"/>
        </w:rPr>
      </w:pPr>
      <w:r w:rsidRPr="004829E3">
        <w:rPr>
          <w:color w:val="auto"/>
          <w:sz w:val="22"/>
          <w:szCs w:val="22"/>
        </w:rPr>
        <w:t xml:space="preserve">- eseguire il flusso finanziario in uscita in ottemperanza alle regole in materia di poteri di spesa e per il solo fine per cui è stato erogato; </w:t>
      </w:r>
    </w:p>
    <w:p w14:paraId="1E3D243B" w14:textId="77777777" w:rsidR="00200D1C" w:rsidRPr="004829E3" w:rsidRDefault="00200D1C" w:rsidP="00200D1C">
      <w:pPr>
        <w:pStyle w:val="Default"/>
        <w:jc w:val="both"/>
        <w:rPr>
          <w:color w:val="auto"/>
          <w:sz w:val="22"/>
          <w:szCs w:val="22"/>
        </w:rPr>
      </w:pPr>
      <w:r w:rsidRPr="004829E3">
        <w:rPr>
          <w:color w:val="auto"/>
          <w:sz w:val="22"/>
          <w:szCs w:val="22"/>
        </w:rPr>
        <w:lastRenderedPageBreak/>
        <w:t xml:space="preserve">- inserire nel fascicolo il documento comprovante il flusso finanziario in uscita, sottoscritto dal soggetto dotato del corrispettivo potere di spesa e dall’operatore che ha materialmente dato corso al flusso finanziario; </w:t>
      </w:r>
    </w:p>
    <w:p w14:paraId="2AA3A4C1" w14:textId="77777777" w:rsidR="00200D1C" w:rsidRPr="004829E3" w:rsidRDefault="00200D1C" w:rsidP="00200D1C">
      <w:pPr>
        <w:pStyle w:val="Default"/>
        <w:jc w:val="both"/>
        <w:rPr>
          <w:color w:val="auto"/>
          <w:sz w:val="22"/>
          <w:szCs w:val="22"/>
        </w:rPr>
      </w:pPr>
      <w:r w:rsidRPr="004829E3">
        <w:rPr>
          <w:color w:val="auto"/>
          <w:sz w:val="22"/>
          <w:szCs w:val="22"/>
        </w:rPr>
        <w:t xml:space="preserve">- formare una nota informativa riassumente i dati di cui sopra, che deve essere senza indugio trasmessa all’ODV. </w:t>
      </w:r>
    </w:p>
    <w:p w14:paraId="01C06229" w14:textId="77777777" w:rsidR="00CB6258" w:rsidRPr="004829E3" w:rsidRDefault="00200D1C" w:rsidP="00200D1C">
      <w:pPr>
        <w:pStyle w:val="Default"/>
        <w:jc w:val="both"/>
        <w:rPr>
          <w:color w:val="auto"/>
          <w:sz w:val="22"/>
          <w:szCs w:val="22"/>
        </w:rPr>
      </w:pPr>
      <w:r w:rsidRPr="004829E3">
        <w:rPr>
          <w:color w:val="auto"/>
          <w:sz w:val="22"/>
          <w:szCs w:val="22"/>
        </w:rPr>
        <w:t xml:space="preserve">Con riferimento alle suddette attività di cui al presente punto 6), la </w:t>
      </w:r>
      <w:r w:rsidR="00CB6258" w:rsidRPr="004829E3">
        <w:rPr>
          <w:color w:val="auto"/>
          <w:sz w:val="22"/>
          <w:szCs w:val="22"/>
        </w:rPr>
        <w:t xml:space="preserve">Fondazione </w:t>
      </w:r>
      <w:r w:rsidRPr="004829E3">
        <w:rPr>
          <w:color w:val="auto"/>
          <w:sz w:val="22"/>
          <w:szCs w:val="22"/>
        </w:rPr>
        <w:t>deve rispettare quanto previsto dal protocollo 5 in tema di Gestone dei rapporti con la P.A</w:t>
      </w:r>
      <w:r w:rsidR="00CB6258" w:rsidRPr="004829E3">
        <w:rPr>
          <w:color w:val="auto"/>
          <w:sz w:val="22"/>
          <w:szCs w:val="22"/>
        </w:rPr>
        <w:t>.</w:t>
      </w:r>
    </w:p>
    <w:p w14:paraId="413FB125" w14:textId="77777777" w:rsidR="00CB6258" w:rsidRPr="004829E3" w:rsidRDefault="00CB6258" w:rsidP="00200D1C">
      <w:pPr>
        <w:pStyle w:val="Default"/>
        <w:jc w:val="both"/>
        <w:rPr>
          <w:color w:val="auto"/>
          <w:sz w:val="22"/>
          <w:szCs w:val="22"/>
        </w:rPr>
      </w:pPr>
    </w:p>
    <w:p w14:paraId="62F4583A" w14:textId="017BB5D8" w:rsidR="00200D1C" w:rsidRPr="004829E3" w:rsidRDefault="00CB6258" w:rsidP="00200D1C">
      <w:pPr>
        <w:pStyle w:val="Default"/>
        <w:jc w:val="both"/>
        <w:rPr>
          <w:color w:val="auto"/>
          <w:sz w:val="22"/>
          <w:szCs w:val="22"/>
        </w:rPr>
      </w:pPr>
      <w:r w:rsidRPr="004829E3">
        <w:rPr>
          <w:color w:val="auto"/>
          <w:sz w:val="22"/>
          <w:szCs w:val="22"/>
        </w:rPr>
        <w:t>Con riferimento alla gestione dei contributi regionali, la Fondazione deve tassativamente osservare quanto disposto dalla normativa regionale di riferimento.</w:t>
      </w:r>
      <w:r w:rsidR="00200D1C" w:rsidRPr="004829E3">
        <w:rPr>
          <w:color w:val="auto"/>
          <w:sz w:val="22"/>
          <w:szCs w:val="22"/>
        </w:rPr>
        <w:t xml:space="preserve"> </w:t>
      </w:r>
    </w:p>
    <w:p w14:paraId="52E99A49" w14:textId="77777777" w:rsidR="00200D1C" w:rsidRPr="004829E3" w:rsidRDefault="00200D1C" w:rsidP="00200D1C">
      <w:pPr>
        <w:pStyle w:val="Default"/>
        <w:jc w:val="both"/>
        <w:rPr>
          <w:color w:val="auto"/>
          <w:sz w:val="22"/>
          <w:szCs w:val="22"/>
        </w:rPr>
      </w:pPr>
    </w:p>
    <w:p w14:paraId="067822A2" w14:textId="30574C61" w:rsidR="00200D1C" w:rsidRPr="004829E3" w:rsidRDefault="00200D1C" w:rsidP="00200D1C">
      <w:pPr>
        <w:pStyle w:val="Default"/>
        <w:jc w:val="both"/>
        <w:rPr>
          <w:color w:val="auto"/>
          <w:sz w:val="22"/>
          <w:szCs w:val="22"/>
        </w:rPr>
      </w:pPr>
    </w:p>
    <w:p w14:paraId="7E7ED852" w14:textId="57B8F89C" w:rsidR="000811FE" w:rsidRPr="004829E3" w:rsidRDefault="00905F13" w:rsidP="000811FE">
      <w:pPr>
        <w:pStyle w:val="Default"/>
        <w:rPr>
          <w:i/>
          <w:iCs/>
          <w:color w:val="auto"/>
          <w:sz w:val="22"/>
          <w:szCs w:val="22"/>
        </w:rPr>
      </w:pPr>
      <w:r w:rsidRPr="004829E3">
        <w:rPr>
          <w:i/>
          <w:iCs/>
          <w:color w:val="auto"/>
          <w:sz w:val="22"/>
          <w:szCs w:val="22"/>
        </w:rPr>
        <w:t>6</w:t>
      </w:r>
      <w:r w:rsidR="000811FE" w:rsidRPr="004829E3">
        <w:rPr>
          <w:i/>
          <w:iCs/>
          <w:color w:val="auto"/>
          <w:sz w:val="22"/>
          <w:szCs w:val="22"/>
        </w:rPr>
        <w:t>) La trasmissione dei flussi finanziari e della contabilità</w:t>
      </w:r>
    </w:p>
    <w:p w14:paraId="633DB866" w14:textId="77777777" w:rsidR="000811FE" w:rsidRPr="004829E3" w:rsidRDefault="000811FE" w:rsidP="000811FE">
      <w:pPr>
        <w:pStyle w:val="Default"/>
        <w:jc w:val="center"/>
        <w:rPr>
          <w:color w:val="auto"/>
          <w:sz w:val="22"/>
          <w:szCs w:val="22"/>
        </w:rPr>
      </w:pPr>
    </w:p>
    <w:p w14:paraId="51D80F93" w14:textId="640C777D" w:rsidR="000811FE" w:rsidRPr="004829E3" w:rsidRDefault="000811FE" w:rsidP="000811FE">
      <w:pPr>
        <w:spacing w:after="0" w:line="240" w:lineRule="atLeast"/>
        <w:jc w:val="both"/>
        <w:rPr>
          <w:rFonts w:ascii="Arial" w:hAnsi="Arial" w:cs="Arial"/>
        </w:rPr>
      </w:pPr>
      <w:r w:rsidRPr="004829E3">
        <w:rPr>
          <w:rFonts w:ascii="Arial" w:hAnsi="Arial" w:cs="Arial"/>
        </w:rPr>
        <w:t xml:space="preserve">Posto e richiamato quanto sopra nelle suddette procedure di prevenzione, </w:t>
      </w:r>
      <w:r w:rsidRPr="004829E3">
        <w:rPr>
          <w:rFonts w:ascii="Arial" w:hAnsi="Arial" w:cs="Arial"/>
          <w:u w:val="single"/>
        </w:rPr>
        <w:t xml:space="preserve">soprattutto al fine di evitare la commissione dei reati di cui agli artt. 24 e 25 D.lgs. 231/2001 ma non solo (quindi a prescindere per ogni tipo di operazione, sia che </w:t>
      </w:r>
      <w:r w:rsidR="00A37B56" w:rsidRPr="004829E3">
        <w:rPr>
          <w:rFonts w:ascii="Arial" w:hAnsi="Arial" w:cs="Arial"/>
          <w:u w:val="single"/>
        </w:rPr>
        <w:t>la Fondazione</w:t>
      </w:r>
      <w:r w:rsidRPr="004829E3">
        <w:rPr>
          <w:rFonts w:ascii="Arial" w:hAnsi="Arial" w:cs="Arial"/>
          <w:u w:val="single"/>
        </w:rPr>
        <w:t xml:space="preserve"> si rapporti con Enti Pubblici che con Enti Privati, come indicato ne</w:t>
      </w:r>
      <w:r w:rsidR="00905F13" w:rsidRPr="004829E3">
        <w:rPr>
          <w:rFonts w:ascii="Arial" w:hAnsi="Arial" w:cs="Arial"/>
          <w:u w:val="single"/>
        </w:rPr>
        <w:t xml:space="preserve">l Protocollo 5) </w:t>
      </w:r>
      <w:r w:rsidRPr="004829E3">
        <w:rPr>
          <w:rFonts w:ascii="Arial" w:hAnsi="Arial" w:cs="Arial"/>
        </w:rPr>
        <w:t xml:space="preserve">è necessario trasmettere a cadenza </w:t>
      </w:r>
      <w:r w:rsidR="00905F13" w:rsidRPr="004829E3">
        <w:rPr>
          <w:rFonts w:ascii="Arial" w:hAnsi="Arial" w:cs="Arial"/>
        </w:rPr>
        <w:t>almeno semestrale</w:t>
      </w:r>
      <w:r w:rsidRPr="004829E3">
        <w:rPr>
          <w:rFonts w:ascii="Arial" w:hAnsi="Arial" w:cs="Arial"/>
        </w:rPr>
        <w:t xml:space="preserve"> a</w:t>
      </w:r>
      <w:r w:rsidR="00905F13" w:rsidRPr="004829E3">
        <w:rPr>
          <w:rFonts w:ascii="Arial" w:hAnsi="Arial" w:cs="Arial"/>
        </w:rPr>
        <w:t>l Presidente del Cda</w:t>
      </w:r>
      <w:r w:rsidRPr="004829E3">
        <w:rPr>
          <w:rFonts w:ascii="Arial" w:hAnsi="Arial" w:cs="Arial"/>
        </w:rPr>
        <w:t xml:space="preserve">, da parte del Responsabile </w:t>
      </w:r>
      <w:r w:rsidR="00905F13" w:rsidRPr="004829E3">
        <w:rPr>
          <w:rFonts w:ascii="Arial" w:hAnsi="Arial" w:cs="Arial"/>
        </w:rPr>
        <w:t>Affari Generali e Legali/Responsabile Amministrativo facente funzioni</w:t>
      </w:r>
      <w:r w:rsidRPr="004829E3">
        <w:rPr>
          <w:rFonts w:ascii="Arial" w:hAnsi="Arial" w:cs="Arial"/>
        </w:rPr>
        <w:t>, la documentazione da cui emergano i flussi finanziari di cui alle suddette procedure e tutte le operazioni contabili (meglio definite nel protocollo 12, cui si rimanda), così da garantire  periodici controlli in corso di anno finanziario, senza attendere l’approvazione del bilancio.</w:t>
      </w:r>
    </w:p>
    <w:p w14:paraId="68DA512B" w14:textId="77777777" w:rsidR="000811FE" w:rsidRPr="004829E3" w:rsidRDefault="000811FE" w:rsidP="000811FE">
      <w:pPr>
        <w:spacing w:after="0" w:line="240" w:lineRule="atLeast"/>
        <w:jc w:val="both"/>
        <w:rPr>
          <w:rFonts w:ascii="Arial" w:hAnsi="Arial" w:cs="Arial"/>
        </w:rPr>
      </w:pPr>
    </w:p>
    <w:p w14:paraId="1A68C580" w14:textId="77777777" w:rsidR="000811FE" w:rsidRPr="004829E3" w:rsidRDefault="000811FE" w:rsidP="000811FE">
      <w:pPr>
        <w:spacing w:after="0" w:line="240" w:lineRule="atLeast"/>
        <w:jc w:val="both"/>
        <w:rPr>
          <w:rFonts w:ascii="Arial" w:hAnsi="Arial" w:cs="Arial"/>
        </w:rPr>
      </w:pPr>
      <w:r w:rsidRPr="004829E3">
        <w:rPr>
          <w:rFonts w:ascii="Arial" w:hAnsi="Arial" w:cs="Arial"/>
        </w:rPr>
        <w:t>Tale operazione appare utile, in merito ai reati di cui all’art. 24 D.lgs. 231/2001, per scongiurare il rischio di malversazioni o di entrate illecite nell’ambito del patrimonio aziendale.</w:t>
      </w:r>
    </w:p>
    <w:p w14:paraId="406D8209" w14:textId="09A674F5" w:rsidR="000811FE" w:rsidRPr="004829E3" w:rsidRDefault="000811FE" w:rsidP="000811FE">
      <w:pPr>
        <w:spacing w:after="0" w:line="240" w:lineRule="atLeast"/>
        <w:jc w:val="both"/>
        <w:rPr>
          <w:rFonts w:ascii="Arial" w:hAnsi="Arial" w:cs="Arial"/>
        </w:rPr>
      </w:pPr>
      <w:r w:rsidRPr="004829E3">
        <w:rPr>
          <w:rFonts w:ascii="Arial" w:hAnsi="Arial" w:cs="Arial"/>
        </w:rPr>
        <w:t>Un controllo operato nel dettaglio a cadenza</w:t>
      </w:r>
      <w:r w:rsidR="00905F13" w:rsidRPr="004829E3">
        <w:rPr>
          <w:rFonts w:ascii="Arial" w:hAnsi="Arial" w:cs="Arial"/>
        </w:rPr>
        <w:t xml:space="preserve"> almeno semestrale</w:t>
      </w:r>
      <w:r w:rsidRPr="004829E3">
        <w:rPr>
          <w:rFonts w:ascii="Arial" w:hAnsi="Arial" w:cs="Arial"/>
        </w:rPr>
        <w:t>, infatti, si profila maggiormente incisivo rispetto al solo e semplice controllo annuale in sede di approvazione del bilancio: eventuali anomalie contabili ed eventuali attività di “mascheramento” di operazioni irregolari, infatti, risultano più agevolmente riscontrabili.</w:t>
      </w:r>
    </w:p>
    <w:p w14:paraId="4422787F" w14:textId="218F98D1" w:rsidR="000811FE" w:rsidRPr="004829E3" w:rsidRDefault="000811FE" w:rsidP="000811FE">
      <w:pPr>
        <w:spacing w:after="0" w:line="240" w:lineRule="atLeast"/>
        <w:jc w:val="both"/>
        <w:rPr>
          <w:rFonts w:ascii="Arial" w:hAnsi="Arial" w:cs="Arial"/>
        </w:rPr>
      </w:pPr>
      <w:r w:rsidRPr="004829E3">
        <w:rPr>
          <w:rFonts w:ascii="Arial" w:hAnsi="Arial" w:cs="Arial"/>
        </w:rPr>
        <w:t xml:space="preserve">Operando secondo tale procedura, quindi, i flussi di denaro provenienti dalla Pubblica Amministrazione verso </w:t>
      </w:r>
      <w:r w:rsidR="00905F13" w:rsidRPr="004829E3">
        <w:rPr>
          <w:rFonts w:ascii="Arial" w:hAnsi="Arial" w:cs="Arial"/>
        </w:rPr>
        <w:t>la Fondazione</w:t>
      </w:r>
      <w:r w:rsidRPr="004829E3">
        <w:rPr>
          <w:rFonts w:ascii="Arial" w:hAnsi="Arial" w:cs="Arial"/>
        </w:rPr>
        <w:t xml:space="preserve"> saranno sempre maggiormente controllabili. </w:t>
      </w:r>
    </w:p>
    <w:p w14:paraId="7975892F" w14:textId="77777777" w:rsidR="000811FE" w:rsidRPr="004829E3" w:rsidRDefault="000811FE" w:rsidP="000811FE">
      <w:pPr>
        <w:spacing w:after="0" w:line="240" w:lineRule="atLeast"/>
        <w:jc w:val="both"/>
        <w:rPr>
          <w:rFonts w:ascii="Arial" w:hAnsi="Arial" w:cs="Arial"/>
        </w:rPr>
      </w:pPr>
      <w:r w:rsidRPr="004829E3">
        <w:rPr>
          <w:rFonts w:ascii="Arial" w:hAnsi="Arial" w:cs="Arial"/>
        </w:rPr>
        <w:t>In tali ipotesi è d’uopo l’immediata informativa all’Organismo di Vigilanza.</w:t>
      </w:r>
    </w:p>
    <w:p w14:paraId="2D1CC33E" w14:textId="77777777" w:rsidR="000811FE" w:rsidRPr="004829E3" w:rsidRDefault="000811FE" w:rsidP="000811FE">
      <w:pPr>
        <w:spacing w:after="0" w:line="240" w:lineRule="atLeast"/>
        <w:jc w:val="both"/>
        <w:rPr>
          <w:rFonts w:ascii="Arial" w:hAnsi="Arial" w:cs="Arial"/>
        </w:rPr>
      </w:pPr>
      <w:r w:rsidRPr="004829E3">
        <w:rPr>
          <w:rFonts w:ascii="Arial" w:hAnsi="Arial" w:cs="Arial"/>
        </w:rPr>
        <w:t>Quanto sopra riportato appare condivisibile anche in relazione ai reati di cui all’art. 25 D.lgs. 231/2001.</w:t>
      </w:r>
    </w:p>
    <w:p w14:paraId="437ADC0B" w14:textId="77777777" w:rsidR="000811FE" w:rsidRPr="004829E3" w:rsidRDefault="000811FE" w:rsidP="000811FE">
      <w:pPr>
        <w:spacing w:after="0" w:line="240" w:lineRule="atLeast"/>
        <w:jc w:val="both"/>
        <w:rPr>
          <w:rFonts w:ascii="Arial" w:hAnsi="Arial" w:cs="Arial"/>
        </w:rPr>
      </w:pPr>
      <w:r w:rsidRPr="004829E3">
        <w:rPr>
          <w:rFonts w:ascii="Arial" w:hAnsi="Arial" w:cs="Arial"/>
        </w:rPr>
        <w:t>Tutta questa gamma di reati, infatti, necessita, ai fini della sua integrazione, di risorse in capo al Privato affinché lo stesso possa comprarsi i favori del Pubblico Impiegato o di chi millanti rapporti con esso.</w:t>
      </w:r>
    </w:p>
    <w:p w14:paraId="5B586684" w14:textId="497485D8" w:rsidR="000811FE" w:rsidRPr="004829E3" w:rsidRDefault="000811FE" w:rsidP="000811FE">
      <w:pPr>
        <w:spacing w:after="0" w:line="240" w:lineRule="atLeast"/>
        <w:jc w:val="both"/>
        <w:rPr>
          <w:rFonts w:ascii="Arial" w:hAnsi="Arial" w:cs="Arial"/>
        </w:rPr>
      </w:pPr>
      <w:r w:rsidRPr="004829E3">
        <w:rPr>
          <w:rFonts w:ascii="Arial" w:hAnsi="Arial" w:cs="Arial"/>
        </w:rPr>
        <w:t xml:space="preserve">La prevenzione, quindi, prende le mosse proprio dalle predette considerazioni ed il presente protocollo intende evitare che </w:t>
      </w:r>
      <w:r w:rsidR="00905F13" w:rsidRPr="004829E3">
        <w:rPr>
          <w:rFonts w:ascii="Arial" w:hAnsi="Arial" w:cs="Arial"/>
        </w:rPr>
        <w:t>la Fondazione</w:t>
      </w:r>
      <w:r w:rsidRPr="004829E3">
        <w:rPr>
          <w:rFonts w:ascii="Arial" w:hAnsi="Arial" w:cs="Arial"/>
        </w:rPr>
        <w:t xml:space="preserve"> possa disporre liberamente di denaro o di altre utilità da impiegare per le illecite finalità di cui sopra.</w:t>
      </w:r>
    </w:p>
    <w:p w14:paraId="6961AB98" w14:textId="4E5F0F44" w:rsidR="000811FE" w:rsidRPr="004829E3" w:rsidRDefault="000811FE" w:rsidP="000811FE">
      <w:pPr>
        <w:spacing w:after="0" w:line="240" w:lineRule="atLeast"/>
        <w:jc w:val="both"/>
        <w:rPr>
          <w:rFonts w:ascii="Arial" w:hAnsi="Arial" w:cs="Arial"/>
        </w:rPr>
      </w:pPr>
      <w:r w:rsidRPr="004829E3">
        <w:rPr>
          <w:rFonts w:ascii="Arial" w:hAnsi="Arial" w:cs="Arial"/>
        </w:rPr>
        <w:t xml:space="preserve">L’obiettivo dovrà essere quello di impedire la formazione dei cd “fondi neri”, ovverosia somme di denaro extra contabili di cui la </w:t>
      </w:r>
      <w:r w:rsidR="00905F13" w:rsidRPr="004829E3">
        <w:rPr>
          <w:rFonts w:ascii="Arial" w:hAnsi="Arial" w:cs="Arial"/>
        </w:rPr>
        <w:t>Fondazione</w:t>
      </w:r>
      <w:r w:rsidRPr="004829E3">
        <w:rPr>
          <w:rFonts w:ascii="Arial" w:hAnsi="Arial" w:cs="Arial"/>
        </w:rPr>
        <w:t xml:space="preserve"> disponga segretamente e che, all’occorrenza, possano servire per acquistare favori di Pubblici Funzionari.</w:t>
      </w:r>
    </w:p>
    <w:p w14:paraId="011F1A6D" w14:textId="77777777" w:rsidR="000811FE" w:rsidRPr="004829E3" w:rsidRDefault="000811FE" w:rsidP="000811FE">
      <w:pPr>
        <w:spacing w:after="0" w:line="240" w:lineRule="atLeast"/>
        <w:jc w:val="both"/>
        <w:rPr>
          <w:rFonts w:ascii="Arial" w:hAnsi="Arial" w:cs="Arial"/>
        </w:rPr>
      </w:pPr>
    </w:p>
    <w:p w14:paraId="21456A5E" w14:textId="3823ACC4" w:rsidR="000811FE" w:rsidRPr="004829E3" w:rsidRDefault="000811FE" w:rsidP="000811FE">
      <w:pPr>
        <w:spacing w:after="0" w:line="240" w:lineRule="auto"/>
        <w:jc w:val="both"/>
        <w:rPr>
          <w:rFonts w:ascii="Arial" w:hAnsi="Arial" w:cs="Arial"/>
        </w:rPr>
      </w:pPr>
      <w:r w:rsidRPr="004829E3">
        <w:rPr>
          <w:rFonts w:ascii="Arial" w:hAnsi="Arial" w:cs="Arial"/>
        </w:rPr>
        <w:t xml:space="preserve">Sempre al fine di evitare mascheramenti contabili, tutti </w:t>
      </w:r>
      <w:r w:rsidR="00A37B56" w:rsidRPr="004829E3">
        <w:rPr>
          <w:rFonts w:ascii="Arial" w:hAnsi="Arial" w:cs="Arial"/>
        </w:rPr>
        <w:t>gli eventuali</w:t>
      </w:r>
      <w:r w:rsidRPr="004829E3">
        <w:rPr>
          <w:rFonts w:ascii="Arial" w:hAnsi="Arial" w:cs="Arial"/>
        </w:rPr>
        <w:t xml:space="preserve"> rimborsi spese richiesti dal personale operante in </w:t>
      </w:r>
      <w:r w:rsidR="00A37B56" w:rsidRPr="004829E3">
        <w:rPr>
          <w:rFonts w:ascii="Arial" w:hAnsi="Arial" w:cs="Arial"/>
        </w:rPr>
        <w:t xml:space="preserve">Fondazione Residenza Conte Canevaro </w:t>
      </w:r>
      <w:r w:rsidRPr="004829E3">
        <w:rPr>
          <w:rFonts w:ascii="Arial" w:hAnsi="Arial" w:cs="Arial"/>
        </w:rPr>
        <w:t>dovranno essere richiesti al</w:t>
      </w:r>
      <w:r w:rsidR="00A37B56" w:rsidRPr="004829E3">
        <w:rPr>
          <w:rFonts w:ascii="Arial" w:hAnsi="Arial" w:cs="Arial"/>
        </w:rPr>
        <w:t xml:space="preserve"> Responsabile Affari Generali e Legali/Responsabile Amministrativo facente funzioni</w:t>
      </w:r>
      <w:r w:rsidRPr="004829E3">
        <w:rPr>
          <w:rFonts w:ascii="Arial" w:hAnsi="Arial" w:cs="Arial"/>
        </w:rPr>
        <w:t>, e quest’ultimo, invece, dovrà chiederli a</w:t>
      </w:r>
      <w:r w:rsidR="00A37B56" w:rsidRPr="004829E3">
        <w:rPr>
          <w:rFonts w:ascii="Arial" w:hAnsi="Arial" w:cs="Arial"/>
        </w:rPr>
        <w:t>l Presidente del Cda.</w:t>
      </w:r>
    </w:p>
    <w:p w14:paraId="7F0E5669" w14:textId="77777777" w:rsidR="000811FE" w:rsidRPr="004829E3" w:rsidRDefault="000811FE" w:rsidP="000811FE">
      <w:pPr>
        <w:spacing w:after="0" w:line="240" w:lineRule="auto"/>
        <w:jc w:val="both"/>
        <w:rPr>
          <w:rFonts w:ascii="Arial" w:hAnsi="Arial" w:cs="Arial"/>
        </w:rPr>
      </w:pPr>
      <w:r w:rsidRPr="004829E3">
        <w:rPr>
          <w:rFonts w:ascii="Arial" w:hAnsi="Arial" w:cs="Arial"/>
        </w:rPr>
        <w:t>Non saranno rimborsabili spese non documentate e, in ogni caso, non pertinenti alla tipologia di attività che è stata esercitata nell’interesse della azienda.</w:t>
      </w:r>
    </w:p>
    <w:p w14:paraId="641603AC" w14:textId="5AC6A8B0" w:rsidR="000811FE" w:rsidRPr="004829E3" w:rsidRDefault="000811FE" w:rsidP="000811FE">
      <w:pPr>
        <w:spacing w:after="0" w:line="240" w:lineRule="auto"/>
        <w:jc w:val="both"/>
        <w:rPr>
          <w:rFonts w:ascii="Arial" w:hAnsi="Arial" w:cs="Arial"/>
        </w:rPr>
      </w:pPr>
      <w:r w:rsidRPr="004829E3">
        <w:rPr>
          <w:rFonts w:ascii="Arial" w:hAnsi="Arial" w:cs="Arial"/>
        </w:rPr>
        <w:t xml:space="preserve">Le spese che, ad un primo controllo sommario, non dovessero apparire di diretta pertinenza con l’attività </w:t>
      </w:r>
      <w:r w:rsidR="00A37B56" w:rsidRPr="004829E3">
        <w:rPr>
          <w:rFonts w:ascii="Arial" w:hAnsi="Arial" w:cs="Arial"/>
        </w:rPr>
        <w:t>della Fondazione</w:t>
      </w:r>
      <w:r w:rsidRPr="004829E3">
        <w:rPr>
          <w:rFonts w:ascii="Arial" w:hAnsi="Arial" w:cs="Arial"/>
        </w:rPr>
        <w:t>, potranno essere rimborsate solo previa audizione del richiedente e solo ove le stesse, ad un controllo più approfondito, risultassero effettivamente pertinenti.</w:t>
      </w:r>
    </w:p>
    <w:p w14:paraId="3B97D9F1" w14:textId="77777777" w:rsidR="000811FE" w:rsidRPr="004829E3" w:rsidRDefault="000811FE" w:rsidP="000811FE">
      <w:pPr>
        <w:spacing w:after="0" w:line="240" w:lineRule="auto"/>
        <w:jc w:val="both"/>
        <w:rPr>
          <w:rFonts w:ascii="Arial" w:hAnsi="Arial" w:cs="Arial"/>
        </w:rPr>
      </w:pPr>
      <w:r w:rsidRPr="004829E3">
        <w:rPr>
          <w:rFonts w:ascii="Arial" w:hAnsi="Arial" w:cs="Arial"/>
        </w:rPr>
        <w:t>In ogni caso, del problema sopra evidenziato dovrà esserne portato a conoscenza l’Organismo di Vigilanza, affinché possa attivare una propria indagine in merito</w:t>
      </w:r>
    </w:p>
    <w:p w14:paraId="4B90C113" w14:textId="77777777" w:rsidR="000811FE" w:rsidRPr="004829E3" w:rsidRDefault="000811FE" w:rsidP="000811FE">
      <w:pPr>
        <w:spacing w:after="0" w:line="240" w:lineRule="auto"/>
        <w:jc w:val="both"/>
        <w:rPr>
          <w:rFonts w:ascii="Arial" w:hAnsi="Arial" w:cs="Arial"/>
        </w:rPr>
      </w:pPr>
      <w:r w:rsidRPr="004829E3">
        <w:rPr>
          <w:rFonts w:ascii="Arial" w:hAnsi="Arial" w:cs="Arial"/>
        </w:rPr>
        <w:lastRenderedPageBreak/>
        <w:t xml:space="preserve">In tal modo, quindi, si eviterà la contabilizzazione di uscite monetarie, mascherate da spese, che siano strumentali alla creazione di fondi occulti. </w:t>
      </w:r>
    </w:p>
    <w:p w14:paraId="2019FB7C" w14:textId="1FD17A26" w:rsidR="00B21149" w:rsidRPr="004829E3" w:rsidRDefault="00B21149" w:rsidP="00200D1C">
      <w:pPr>
        <w:pStyle w:val="Default"/>
        <w:jc w:val="both"/>
        <w:rPr>
          <w:color w:val="auto"/>
          <w:sz w:val="22"/>
          <w:szCs w:val="22"/>
        </w:rPr>
      </w:pPr>
    </w:p>
    <w:p w14:paraId="4247BCD3" w14:textId="5523CD42" w:rsidR="00B21149" w:rsidRPr="004829E3" w:rsidRDefault="00B21149" w:rsidP="00200D1C">
      <w:pPr>
        <w:pStyle w:val="Default"/>
        <w:jc w:val="both"/>
        <w:rPr>
          <w:color w:val="auto"/>
          <w:sz w:val="22"/>
          <w:szCs w:val="22"/>
        </w:rPr>
      </w:pPr>
    </w:p>
    <w:p w14:paraId="59863850" w14:textId="77777777" w:rsidR="00B21149" w:rsidRPr="004829E3" w:rsidRDefault="00B21149" w:rsidP="00200D1C">
      <w:pPr>
        <w:pStyle w:val="Default"/>
        <w:jc w:val="both"/>
        <w:rPr>
          <w:color w:val="auto"/>
          <w:sz w:val="22"/>
          <w:szCs w:val="22"/>
        </w:rPr>
      </w:pPr>
    </w:p>
    <w:p w14:paraId="49D55D2B" w14:textId="77777777" w:rsidR="00200D1C" w:rsidRPr="004829E3" w:rsidRDefault="00200D1C" w:rsidP="00200D1C">
      <w:pPr>
        <w:pStyle w:val="Default"/>
        <w:numPr>
          <w:ilvl w:val="0"/>
          <w:numId w:val="6"/>
        </w:numPr>
        <w:jc w:val="both"/>
        <w:rPr>
          <w:b/>
          <w:bCs/>
          <w:color w:val="auto"/>
          <w:sz w:val="22"/>
          <w:szCs w:val="22"/>
          <w:u w:val="single"/>
        </w:rPr>
      </w:pPr>
      <w:r w:rsidRPr="004829E3">
        <w:rPr>
          <w:b/>
          <w:bCs/>
          <w:i/>
          <w:iCs/>
          <w:color w:val="auto"/>
          <w:sz w:val="22"/>
          <w:szCs w:val="22"/>
          <w:u w:val="single"/>
        </w:rPr>
        <w:t xml:space="preserve">b) Gestione dei rapporti con gli istituti di credito </w:t>
      </w:r>
    </w:p>
    <w:p w14:paraId="19641CEE" w14:textId="77777777" w:rsidR="00200D1C" w:rsidRPr="004829E3" w:rsidRDefault="00200D1C" w:rsidP="00200D1C">
      <w:pPr>
        <w:pStyle w:val="Default"/>
        <w:jc w:val="both"/>
        <w:rPr>
          <w:color w:val="auto"/>
          <w:sz w:val="22"/>
          <w:szCs w:val="22"/>
        </w:rPr>
      </w:pPr>
    </w:p>
    <w:p w14:paraId="65C621BF" w14:textId="069BF450" w:rsidR="008326A9" w:rsidRPr="004829E3" w:rsidRDefault="00200D1C" w:rsidP="00200D1C">
      <w:pPr>
        <w:pStyle w:val="Default"/>
        <w:jc w:val="both"/>
        <w:rPr>
          <w:color w:val="auto"/>
          <w:sz w:val="22"/>
          <w:szCs w:val="22"/>
        </w:rPr>
      </w:pPr>
      <w:r w:rsidRPr="004829E3">
        <w:rPr>
          <w:color w:val="auto"/>
          <w:sz w:val="22"/>
          <w:szCs w:val="22"/>
        </w:rPr>
        <w:t>La gestione dei rapporti con gli istituti di credito è regolata dal Presidente del CDA</w:t>
      </w:r>
      <w:r w:rsidR="00CB6258" w:rsidRPr="004829E3">
        <w:rPr>
          <w:color w:val="auto"/>
          <w:sz w:val="22"/>
          <w:szCs w:val="22"/>
        </w:rPr>
        <w:t xml:space="preserve"> e dal </w:t>
      </w:r>
      <w:r w:rsidR="001834BC" w:rsidRPr="004829E3">
        <w:rPr>
          <w:color w:val="auto"/>
          <w:sz w:val="22"/>
          <w:szCs w:val="22"/>
        </w:rPr>
        <w:t xml:space="preserve">Responsabile Affari generali e legali/Responsabile Amministrativo facente funzioni. </w:t>
      </w:r>
      <w:r w:rsidR="00CB6258" w:rsidRPr="004829E3">
        <w:rPr>
          <w:color w:val="auto"/>
          <w:sz w:val="22"/>
          <w:szCs w:val="22"/>
        </w:rPr>
        <w:t>mediante apposita delega</w:t>
      </w:r>
      <w:r w:rsidR="008326A9" w:rsidRPr="004829E3">
        <w:rPr>
          <w:color w:val="auto"/>
          <w:sz w:val="22"/>
          <w:szCs w:val="22"/>
        </w:rPr>
        <w:t xml:space="preserve">. </w:t>
      </w:r>
    </w:p>
    <w:p w14:paraId="73450FFC" w14:textId="77777777" w:rsidR="008326A9" w:rsidRPr="004829E3" w:rsidRDefault="008326A9" w:rsidP="00200D1C">
      <w:pPr>
        <w:pStyle w:val="Default"/>
        <w:jc w:val="both"/>
        <w:rPr>
          <w:color w:val="auto"/>
          <w:sz w:val="22"/>
          <w:szCs w:val="22"/>
        </w:rPr>
      </w:pPr>
    </w:p>
    <w:p w14:paraId="30B695ED" w14:textId="68ED5E9A" w:rsidR="00200D1C" w:rsidRPr="004829E3" w:rsidRDefault="008326A9" w:rsidP="00200D1C">
      <w:pPr>
        <w:pStyle w:val="Default"/>
        <w:jc w:val="both"/>
        <w:rPr>
          <w:color w:val="auto"/>
          <w:sz w:val="22"/>
          <w:szCs w:val="22"/>
        </w:rPr>
      </w:pPr>
      <w:r w:rsidRPr="004829E3">
        <w:rPr>
          <w:color w:val="auto"/>
          <w:sz w:val="22"/>
          <w:szCs w:val="22"/>
        </w:rPr>
        <w:t>I predetti devono sempre comunque operare</w:t>
      </w:r>
      <w:r w:rsidR="00200D1C" w:rsidRPr="004829E3">
        <w:rPr>
          <w:color w:val="auto"/>
          <w:sz w:val="22"/>
          <w:szCs w:val="22"/>
        </w:rPr>
        <w:t xml:space="preserve"> secondo il principio generale di buona fede e con la diligenza ordinaria, nel rispetto delle norme nazionali, dei principi espressi dal Codice Etico</w:t>
      </w:r>
      <w:r w:rsidR="00FE4857" w:rsidRPr="004829E3">
        <w:rPr>
          <w:color w:val="auto"/>
          <w:sz w:val="22"/>
          <w:szCs w:val="22"/>
        </w:rPr>
        <w:t>.</w:t>
      </w:r>
    </w:p>
    <w:p w14:paraId="021C64D3" w14:textId="77777777" w:rsidR="00200D1C" w:rsidRPr="004829E3" w:rsidRDefault="00200D1C" w:rsidP="00200D1C">
      <w:pPr>
        <w:pStyle w:val="Default"/>
        <w:jc w:val="both"/>
        <w:rPr>
          <w:color w:val="auto"/>
          <w:sz w:val="22"/>
          <w:szCs w:val="22"/>
        </w:rPr>
      </w:pPr>
    </w:p>
    <w:p w14:paraId="227C0A56" w14:textId="0BA53D5E" w:rsidR="00356507" w:rsidRPr="004829E3" w:rsidRDefault="00356507" w:rsidP="00000EFB">
      <w:pPr>
        <w:pStyle w:val="Default"/>
        <w:jc w:val="both"/>
        <w:rPr>
          <w:color w:val="auto"/>
          <w:sz w:val="22"/>
          <w:szCs w:val="22"/>
        </w:rPr>
      </w:pPr>
    </w:p>
    <w:p w14:paraId="35460FA3" w14:textId="37915D2F" w:rsidR="00D64156" w:rsidRPr="004829E3" w:rsidRDefault="00D64156" w:rsidP="00D64156">
      <w:pPr>
        <w:pStyle w:val="Default"/>
        <w:numPr>
          <w:ilvl w:val="0"/>
          <w:numId w:val="8"/>
        </w:numPr>
        <w:spacing w:after="36"/>
        <w:jc w:val="both"/>
        <w:rPr>
          <w:b/>
          <w:bCs/>
          <w:i/>
          <w:iCs/>
          <w:color w:val="auto"/>
          <w:sz w:val="22"/>
          <w:szCs w:val="22"/>
          <w:u w:val="single"/>
        </w:rPr>
      </w:pPr>
      <w:r w:rsidRPr="004829E3">
        <w:rPr>
          <w:b/>
          <w:bCs/>
          <w:i/>
          <w:iCs/>
          <w:color w:val="auto"/>
          <w:sz w:val="22"/>
          <w:szCs w:val="22"/>
          <w:u w:val="single"/>
        </w:rPr>
        <w:t>c)</w:t>
      </w:r>
      <w:r w:rsidRPr="004829E3">
        <w:rPr>
          <w:rFonts w:eastAsia="Times New Roman"/>
          <w:b/>
          <w:bCs/>
          <w:i/>
          <w:iCs/>
          <w:color w:val="auto"/>
          <w:sz w:val="18"/>
          <w:szCs w:val="18"/>
          <w:u w:val="single"/>
        </w:rPr>
        <w:t xml:space="preserve"> </w:t>
      </w:r>
      <w:r w:rsidRPr="004829E3">
        <w:rPr>
          <w:rFonts w:eastAsia="Times New Roman"/>
          <w:b/>
          <w:bCs/>
          <w:i/>
          <w:iCs/>
          <w:color w:val="auto"/>
          <w:sz w:val="22"/>
          <w:szCs w:val="22"/>
          <w:u w:val="single"/>
        </w:rPr>
        <w:t>Ciclo attivo e passivo (gestione dei flussi finanziari). Gestione utilizzo carte di credito e strumenti di pagamento diversi dai contanti.</w:t>
      </w:r>
    </w:p>
    <w:p w14:paraId="5BD2C01F" w14:textId="77777777" w:rsidR="00D64156" w:rsidRPr="004829E3" w:rsidRDefault="00D64156" w:rsidP="00D64156">
      <w:pPr>
        <w:pStyle w:val="Default"/>
        <w:jc w:val="both"/>
        <w:rPr>
          <w:color w:val="auto"/>
          <w:sz w:val="22"/>
          <w:szCs w:val="22"/>
        </w:rPr>
      </w:pPr>
    </w:p>
    <w:p w14:paraId="3F215DC9" w14:textId="77777777" w:rsidR="00D64156" w:rsidRPr="004829E3" w:rsidRDefault="00D64156" w:rsidP="00D64156">
      <w:pPr>
        <w:pStyle w:val="Default"/>
        <w:numPr>
          <w:ilvl w:val="0"/>
          <w:numId w:val="27"/>
        </w:numPr>
        <w:jc w:val="both"/>
        <w:rPr>
          <w:i/>
          <w:iCs/>
          <w:color w:val="auto"/>
          <w:sz w:val="22"/>
          <w:szCs w:val="22"/>
        </w:rPr>
      </w:pPr>
      <w:r w:rsidRPr="004829E3">
        <w:rPr>
          <w:i/>
          <w:iCs/>
          <w:color w:val="auto"/>
          <w:sz w:val="22"/>
          <w:szCs w:val="22"/>
        </w:rPr>
        <w:t>Gli strumenti di pagamento diversi dal contante. Il quadro normativo</w:t>
      </w:r>
    </w:p>
    <w:p w14:paraId="7E17B531" w14:textId="77777777" w:rsidR="00D64156" w:rsidRPr="004829E3" w:rsidRDefault="00D64156" w:rsidP="00D64156">
      <w:pPr>
        <w:pStyle w:val="Default"/>
        <w:jc w:val="both"/>
        <w:rPr>
          <w:color w:val="auto"/>
          <w:sz w:val="22"/>
          <w:szCs w:val="22"/>
        </w:rPr>
      </w:pPr>
    </w:p>
    <w:p w14:paraId="6E8F1C73" w14:textId="77777777" w:rsidR="00D64156" w:rsidRPr="004829E3" w:rsidRDefault="00D64156" w:rsidP="00D64156">
      <w:pPr>
        <w:autoSpaceDE w:val="0"/>
        <w:autoSpaceDN w:val="0"/>
        <w:adjustRightInd w:val="0"/>
        <w:spacing w:after="0" w:line="240" w:lineRule="auto"/>
        <w:jc w:val="both"/>
        <w:rPr>
          <w:rFonts w:ascii="Arial" w:hAnsi="Arial" w:cs="Arial"/>
        </w:rPr>
      </w:pPr>
      <w:r w:rsidRPr="004829E3">
        <w:rPr>
          <w:rFonts w:ascii="Arial" w:hAnsi="Arial" w:cs="Arial"/>
        </w:rPr>
        <w:t>Una prima definizione di “strumento di pagamento diverso dal contante” è rinvenibile al d.lgs. 184/2021, il quale all’art. 1, definisce come tale «</w:t>
      </w:r>
      <w:r w:rsidRPr="004829E3">
        <w:rPr>
          <w:rFonts w:ascii="Arial" w:hAnsi="Arial" w:cs="Arial"/>
          <w:i/>
          <w:iCs/>
        </w:rPr>
        <w:t>un dispositivo, oggetto o record protetto immateriale o materiale, o una loro combinazione, diverso dalla moneta a corso legale, che, da solo o unitamente a una procedura o a una serie di procedure, permette al titolare all’utente di trasferire denaro o valore monetario, anche attraverso mezzi di scambio</w:t>
      </w:r>
      <w:r w:rsidRPr="004829E3">
        <w:rPr>
          <w:rFonts w:ascii="Arial" w:hAnsi="Arial" w:cs="Arial"/>
        </w:rPr>
        <w:t xml:space="preserve"> </w:t>
      </w:r>
      <w:r w:rsidRPr="004829E3">
        <w:rPr>
          <w:rFonts w:ascii="Arial" w:hAnsi="Arial" w:cs="Arial"/>
          <w:i/>
          <w:iCs/>
        </w:rPr>
        <w:t>digitali</w:t>
      </w:r>
      <w:r w:rsidRPr="004829E3">
        <w:rPr>
          <w:rFonts w:ascii="Arial" w:hAnsi="Arial" w:cs="Arial"/>
        </w:rPr>
        <w:t>», chiarendo ulteriormente che:</w:t>
      </w:r>
    </w:p>
    <w:p w14:paraId="0343472A" w14:textId="77777777" w:rsidR="00D64156" w:rsidRPr="004829E3" w:rsidRDefault="00D64156" w:rsidP="00D64156">
      <w:pPr>
        <w:autoSpaceDE w:val="0"/>
        <w:autoSpaceDN w:val="0"/>
        <w:adjustRightInd w:val="0"/>
        <w:spacing w:after="0" w:line="240" w:lineRule="auto"/>
        <w:jc w:val="both"/>
        <w:rPr>
          <w:rFonts w:ascii="Arial" w:hAnsi="Arial" w:cs="Arial"/>
        </w:rPr>
      </w:pPr>
      <w:r w:rsidRPr="004829E3">
        <w:rPr>
          <w:rFonts w:ascii="Arial" w:hAnsi="Arial" w:cs="Arial"/>
        </w:rPr>
        <w:t>i) per «</w:t>
      </w:r>
      <w:r w:rsidRPr="004829E3">
        <w:rPr>
          <w:rFonts w:ascii="Arial" w:hAnsi="Arial" w:cs="Arial"/>
          <w:i/>
          <w:iCs/>
        </w:rPr>
        <w:t>dispositivo, oggetto o record protetto</w:t>
      </w:r>
      <w:r w:rsidRPr="004829E3">
        <w:rPr>
          <w:rFonts w:ascii="Arial" w:hAnsi="Arial" w:cs="Arial"/>
        </w:rPr>
        <w:t xml:space="preserve">» si intende un dispositivo, oggetto o record protetto contro le imitazioni o l’utilizzazione fraudolenta (per esempio mediante disegno, codice o firma) </w:t>
      </w:r>
    </w:p>
    <w:p w14:paraId="470DD293" w14:textId="77777777" w:rsidR="00D64156" w:rsidRPr="004829E3" w:rsidRDefault="00D64156" w:rsidP="00D64156">
      <w:pPr>
        <w:autoSpaceDE w:val="0"/>
        <w:autoSpaceDN w:val="0"/>
        <w:adjustRightInd w:val="0"/>
        <w:spacing w:after="0" w:line="240" w:lineRule="auto"/>
        <w:jc w:val="both"/>
        <w:rPr>
          <w:rFonts w:ascii="Arial" w:hAnsi="Arial" w:cs="Arial"/>
          <w:i/>
          <w:iCs/>
        </w:rPr>
      </w:pPr>
      <w:r w:rsidRPr="004829E3">
        <w:rPr>
          <w:rFonts w:ascii="Arial" w:hAnsi="Arial" w:cs="Arial"/>
        </w:rPr>
        <w:t>ii) la locuzione «</w:t>
      </w:r>
      <w:r w:rsidRPr="004829E3">
        <w:rPr>
          <w:rFonts w:ascii="Arial" w:hAnsi="Arial" w:cs="Arial"/>
          <w:i/>
          <w:iCs/>
        </w:rPr>
        <w:t>mezzo di scambio digitale</w:t>
      </w:r>
      <w:r w:rsidRPr="004829E3">
        <w:rPr>
          <w:rFonts w:ascii="Arial" w:hAnsi="Arial" w:cs="Arial"/>
        </w:rPr>
        <w:t>» indica «</w:t>
      </w:r>
      <w:r w:rsidRPr="004829E3">
        <w:rPr>
          <w:rFonts w:ascii="Arial" w:hAnsi="Arial" w:cs="Arial"/>
          <w:i/>
          <w:iCs/>
        </w:rPr>
        <w:t xml:space="preserve">qualsiasi moneta elettronica definita all’art. 1, comma 2, lett. </w:t>
      </w:r>
      <w:r w:rsidRPr="004829E3">
        <w:rPr>
          <w:rFonts w:ascii="Arial" w:hAnsi="Arial" w:cs="Arial"/>
        </w:rPr>
        <w:t>h ter</w:t>
      </w:r>
      <w:r w:rsidRPr="004829E3">
        <w:rPr>
          <w:rFonts w:ascii="Arial" w:hAnsi="Arial" w:cs="Arial"/>
          <w:i/>
          <w:iCs/>
        </w:rPr>
        <w:t>), d.lgs. 385/1993, e la valuta virtuale</w:t>
      </w:r>
      <w:r w:rsidRPr="004829E3">
        <w:rPr>
          <w:rFonts w:ascii="Arial" w:hAnsi="Arial" w:cs="Arial"/>
        </w:rPr>
        <w:t>»,</w:t>
      </w:r>
      <w:r w:rsidRPr="004829E3">
        <w:rPr>
          <w:rFonts w:ascii="Arial" w:hAnsi="Arial" w:cs="Arial"/>
          <w:i/>
          <w:iCs/>
        </w:rPr>
        <w:t xml:space="preserve"> </w:t>
      </w:r>
      <w:r w:rsidRPr="004829E3">
        <w:rPr>
          <w:rFonts w:ascii="Arial" w:hAnsi="Arial" w:cs="Arial"/>
        </w:rPr>
        <w:t>intendendosi quest’ultima come una «</w:t>
      </w:r>
      <w:r w:rsidRPr="004829E3">
        <w:rPr>
          <w:rFonts w:ascii="Arial" w:hAnsi="Arial" w:cs="Arial"/>
          <w:i/>
          <w:iCs/>
        </w:rPr>
        <w:t xml:space="preserve">rappresentazione di valore digitale che non è emessa o garantita da una banca centrale o da un ente pubblico, non è legata necessariamente a una valuta legalmente istituita e non possiede lo </w:t>
      </w:r>
      <w:r w:rsidRPr="004829E3">
        <w:rPr>
          <w:rFonts w:ascii="Arial" w:hAnsi="Arial" w:cs="Arial"/>
        </w:rPr>
        <w:t xml:space="preserve">status </w:t>
      </w:r>
      <w:r w:rsidRPr="004829E3">
        <w:rPr>
          <w:rFonts w:ascii="Arial" w:hAnsi="Arial" w:cs="Arial"/>
          <w:i/>
          <w:iCs/>
        </w:rPr>
        <w:t>giuridico di valuta o denaro, ma è accettata da persone fisiche o giuridiche come mezzo di scambio, e che può essere trasferita, memorizzata e scambiata elettronicamente</w:t>
      </w:r>
      <w:r w:rsidRPr="004829E3">
        <w:rPr>
          <w:rFonts w:ascii="Arial" w:hAnsi="Arial" w:cs="Arial"/>
        </w:rPr>
        <w:t>».</w:t>
      </w:r>
    </w:p>
    <w:p w14:paraId="785433B5" w14:textId="77777777" w:rsidR="00D64156" w:rsidRPr="004829E3" w:rsidRDefault="00D64156" w:rsidP="00D64156">
      <w:pPr>
        <w:autoSpaceDE w:val="0"/>
        <w:autoSpaceDN w:val="0"/>
        <w:adjustRightInd w:val="0"/>
        <w:spacing w:after="0" w:line="240" w:lineRule="auto"/>
        <w:jc w:val="both"/>
        <w:rPr>
          <w:rFonts w:ascii="Arial" w:hAnsi="Arial" w:cs="Arial"/>
        </w:rPr>
      </w:pPr>
      <w:r w:rsidRPr="004829E3">
        <w:rPr>
          <w:rFonts w:ascii="Arial" w:hAnsi="Arial" w:cs="Arial"/>
        </w:rPr>
        <w:t>Tali definizioni riprendono sostanzialmente quelle proposte nella Direttiva (UE) 2019/71.</w:t>
      </w:r>
    </w:p>
    <w:p w14:paraId="5150A395" w14:textId="77777777" w:rsidR="00D64156" w:rsidRPr="004829E3" w:rsidRDefault="00D64156" w:rsidP="00D64156">
      <w:pPr>
        <w:autoSpaceDE w:val="0"/>
        <w:autoSpaceDN w:val="0"/>
        <w:adjustRightInd w:val="0"/>
        <w:spacing w:after="0" w:line="240" w:lineRule="auto"/>
        <w:jc w:val="both"/>
        <w:rPr>
          <w:rFonts w:ascii="Arial" w:hAnsi="Arial" w:cs="Arial"/>
        </w:rPr>
      </w:pPr>
    </w:p>
    <w:p w14:paraId="1DA07CA6" w14:textId="77777777" w:rsidR="00D64156" w:rsidRPr="004829E3" w:rsidRDefault="00D64156" w:rsidP="00D64156">
      <w:pPr>
        <w:autoSpaceDE w:val="0"/>
        <w:autoSpaceDN w:val="0"/>
        <w:adjustRightInd w:val="0"/>
        <w:spacing w:after="0" w:line="240" w:lineRule="auto"/>
        <w:jc w:val="both"/>
        <w:rPr>
          <w:rFonts w:ascii="Arial" w:hAnsi="Arial" w:cs="Arial"/>
        </w:rPr>
      </w:pPr>
      <w:r w:rsidRPr="004829E3">
        <w:rPr>
          <w:rFonts w:ascii="Arial" w:hAnsi="Arial" w:cs="Arial"/>
        </w:rPr>
        <w:t>Il d.lgs. 11/2010 in tema di servizi di pagamento nel mercato interno, identifica invece come «</w:t>
      </w:r>
      <w:r w:rsidRPr="004829E3">
        <w:rPr>
          <w:rFonts w:ascii="Arial" w:hAnsi="Arial" w:cs="Arial"/>
          <w:i/>
          <w:iCs/>
        </w:rPr>
        <w:t>strumento di pagamento</w:t>
      </w:r>
      <w:r w:rsidRPr="004829E3">
        <w:rPr>
          <w:rFonts w:ascii="Arial" w:hAnsi="Arial" w:cs="Arial"/>
        </w:rPr>
        <w:t>» qualsiasi dispositivo personalizzato e/o insieme di procedure concordate tra l’utente e il prestatore di servizi di pagamento e di cui l’utente di servizi di pagamento si avvale per impartire un ordine di pagamento.</w:t>
      </w:r>
    </w:p>
    <w:p w14:paraId="30DAA6E6" w14:textId="77777777" w:rsidR="00D64156" w:rsidRPr="004829E3" w:rsidRDefault="00D64156" w:rsidP="00D64156">
      <w:pPr>
        <w:autoSpaceDE w:val="0"/>
        <w:autoSpaceDN w:val="0"/>
        <w:adjustRightInd w:val="0"/>
        <w:spacing w:after="0" w:line="240" w:lineRule="auto"/>
        <w:jc w:val="both"/>
        <w:rPr>
          <w:rFonts w:ascii="Arial" w:hAnsi="Arial" w:cs="Arial"/>
        </w:rPr>
      </w:pPr>
    </w:p>
    <w:p w14:paraId="4F41A10B" w14:textId="77777777" w:rsidR="00D64156" w:rsidRPr="004829E3" w:rsidRDefault="00D64156" w:rsidP="00D64156">
      <w:pPr>
        <w:autoSpaceDE w:val="0"/>
        <w:autoSpaceDN w:val="0"/>
        <w:adjustRightInd w:val="0"/>
        <w:spacing w:after="0" w:line="240" w:lineRule="auto"/>
        <w:jc w:val="both"/>
        <w:rPr>
          <w:rFonts w:ascii="Arial" w:hAnsi="Arial" w:cs="Arial"/>
        </w:rPr>
      </w:pPr>
      <w:r w:rsidRPr="004829E3">
        <w:rPr>
          <w:rFonts w:ascii="Arial" w:hAnsi="Arial" w:cs="Arial"/>
        </w:rPr>
        <w:t xml:space="preserve">La definizione di moneta elettronica (mezzo di scambio digitale) contenuta invece nel d.lgs. 385/1993 (Testo Unico Bancario), viene invece ripresa espressamente dallo stesso art. 1, d.lgs. 184/2021, ed è pertanto individuabile nel valore monetario memorizzato elettronicamente, </w:t>
      </w:r>
      <w:r w:rsidRPr="004829E3">
        <w:rPr>
          <w:rFonts w:ascii="Arial" w:hAnsi="Arial" w:cs="Arial"/>
          <w:i/>
          <w:iCs/>
        </w:rPr>
        <w:t xml:space="preserve">ivi </w:t>
      </w:r>
      <w:r w:rsidRPr="004829E3">
        <w:rPr>
          <w:rFonts w:ascii="Arial" w:hAnsi="Arial" w:cs="Arial"/>
        </w:rPr>
        <w:t>inclusa la memorizzazione magnetica, rappresentato da un credito nei confronti dell’emittente che sia emesso per effettuare operazioni di pagamento ed accettato da persone fisiche e giuridiche diverse dall’emittente.</w:t>
      </w:r>
    </w:p>
    <w:p w14:paraId="23CBF485" w14:textId="77777777" w:rsidR="00D64156" w:rsidRPr="004829E3" w:rsidRDefault="00D64156" w:rsidP="00D64156">
      <w:pPr>
        <w:autoSpaceDE w:val="0"/>
        <w:autoSpaceDN w:val="0"/>
        <w:adjustRightInd w:val="0"/>
        <w:spacing w:after="0" w:line="240" w:lineRule="auto"/>
        <w:jc w:val="both"/>
        <w:rPr>
          <w:rFonts w:ascii="Arial" w:hAnsi="Arial" w:cs="Arial"/>
        </w:rPr>
      </w:pPr>
    </w:p>
    <w:p w14:paraId="62705DC4" w14:textId="77777777" w:rsidR="00D64156" w:rsidRPr="004829E3" w:rsidRDefault="00D64156" w:rsidP="00D64156">
      <w:pPr>
        <w:autoSpaceDE w:val="0"/>
        <w:autoSpaceDN w:val="0"/>
        <w:adjustRightInd w:val="0"/>
        <w:spacing w:after="0" w:line="240" w:lineRule="auto"/>
        <w:jc w:val="both"/>
        <w:rPr>
          <w:rFonts w:ascii="Arial" w:hAnsi="Arial" w:cs="Arial"/>
        </w:rPr>
      </w:pPr>
      <w:r w:rsidRPr="004829E3">
        <w:rPr>
          <w:rFonts w:ascii="Arial" w:hAnsi="Arial" w:cs="Arial"/>
        </w:rPr>
        <w:t>Tema invece assolutamente autonomo sotto il profilo definitorio è poi quello relativo alla valuta virtuale (o criptovaluta) per cui la principale definizione preesistente è contenuta nel, d.lgs. 231/2007 (normativa Antiriciclaggio) che così la individua: «</w:t>
      </w:r>
      <w:r w:rsidRPr="004829E3">
        <w:rPr>
          <w:rFonts w:ascii="Arial" w:hAnsi="Arial" w:cs="Arial"/>
          <w:i/>
          <w:iCs/>
        </w:rPr>
        <w:t>la rappresentazione digitale di valore, non emessa ne garantita</w:t>
      </w:r>
      <w:r w:rsidRPr="004829E3">
        <w:rPr>
          <w:rFonts w:ascii="Arial" w:hAnsi="Arial" w:cs="Arial"/>
        </w:rPr>
        <w:t xml:space="preserve"> </w:t>
      </w:r>
      <w:r w:rsidRPr="004829E3">
        <w:rPr>
          <w:rFonts w:ascii="Arial" w:hAnsi="Arial" w:cs="Arial"/>
          <w:i/>
          <w:iCs/>
        </w:rPr>
        <w:t>da una banca centrale o da un’autorità pubblica, non necessariamente collegata a</w:t>
      </w:r>
      <w:r w:rsidRPr="004829E3">
        <w:rPr>
          <w:rFonts w:ascii="Arial" w:hAnsi="Arial" w:cs="Arial"/>
        </w:rPr>
        <w:t xml:space="preserve"> </w:t>
      </w:r>
      <w:r w:rsidRPr="004829E3">
        <w:rPr>
          <w:rFonts w:ascii="Arial" w:hAnsi="Arial" w:cs="Arial"/>
          <w:i/>
          <w:iCs/>
        </w:rPr>
        <w:t>una valuta avente corso legale, utilizzata come mezzo di scambio per l’acquisto di</w:t>
      </w:r>
      <w:r w:rsidRPr="004829E3">
        <w:rPr>
          <w:rFonts w:ascii="Arial" w:hAnsi="Arial" w:cs="Arial"/>
        </w:rPr>
        <w:t xml:space="preserve"> </w:t>
      </w:r>
      <w:r w:rsidRPr="004829E3">
        <w:rPr>
          <w:rFonts w:ascii="Arial" w:hAnsi="Arial" w:cs="Arial"/>
          <w:i/>
          <w:iCs/>
        </w:rPr>
        <w:t>beni e servizi o per finalità di investimento e trasferita, archiviata e negoziata</w:t>
      </w:r>
      <w:r w:rsidRPr="004829E3">
        <w:rPr>
          <w:rFonts w:ascii="Arial" w:hAnsi="Arial" w:cs="Arial"/>
        </w:rPr>
        <w:t xml:space="preserve"> </w:t>
      </w:r>
      <w:r w:rsidRPr="004829E3">
        <w:rPr>
          <w:rFonts w:ascii="Arial" w:hAnsi="Arial" w:cs="Arial"/>
          <w:i/>
          <w:iCs/>
        </w:rPr>
        <w:t>elettronicamente</w:t>
      </w:r>
      <w:r w:rsidRPr="004829E3">
        <w:rPr>
          <w:rFonts w:ascii="Arial" w:hAnsi="Arial" w:cs="Arial"/>
        </w:rPr>
        <w:t xml:space="preserve">». </w:t>
      </w:r>
    </w:p>
    <w:p w14:paraId="0BCA250A" w14:textId="77777777" w:rsidR="00D64156" w:rsidRPr="004829E3" w:rsidRDefault="00D64156" w:rsidP="00D64156">
      <w:pPr>
        <w:pStyle w:val="Default"/>
        <w:jc w:val="both"/>
        <w:rPr>
          <w:color w:val="auto"/>
          <w:sz w:val="22"/>
          <w:szCs w:val="22"/>
        </w:rPr>
      </w:pPr>
    </w:p>
    <w:p w14:paraId="64FB9545" w14:textId="7C3FF27C" w:rsidR="00D64156" w:rsidRPr="004829E3" w:rsidRDefault="00D64156" w:rsidP="00D64156">
      <w:pPr>
        <w:pStyle w:val="Default"/>
        <w:numPr>
          <w:ilvl w:val="0"/>
          <w:numId w:val="27"/>
        </w:numPr>
        <w:jc w:val="both"/>
        <w:rPr>
          <w:i/>
          <w:iCs/>
          <w:color w:val="auto"/>
          <w:sz w:val="22"/>
          <w:szCs w:val="22"/>
        </w:rPr>
      </w:pPr>
      <w:r w:rsidRPr="004829E3">
        <w:rPr>
          <w:i/>
          <w:iCs/>
          <w:color w:val="auto"/>
          <w:sz w:val="22"/>
          <w:szCs w:val="22"/>
        </w:rPr>
        <w:t>Le procedure di prevenzione in Fondazione Residenza Conte Canevaro</w:t>
      </w:r>
    </w:p>
    <w:p w14:paraId="229A7174" w14:textId="77777777" w:rsidR="00D64156" w:rsidRPr="004829E3" w:rsidRDefault="00D64156" w:rsidP="00D64156">
      <w:pPr>
        <w:pStyle w:val="Default"/>
        <w:jc w:val="both"/>
        <w:rPr>
          <w:color w:val="auto"/>
          <w:sz w:val="22"/>
          <w:szCs w:val="22"/>
        </w:rPr>
      </w:pPr>
    </w:p>
    <w:p w14:paraId="19FF2C82" w14:textId="0A38A0DE" w:rsidR="00D64156" w:rsidRPr="004829E3" w:rsidRDefault="00D64156" w:rsidP="00D64156">
      <w:pPr>
        <w:pStyle w:val="Default"/>
        <w:jc w:val="both"/>
        <w:rPr>
          <w:color w:val="auto"/>
          <w:sz w:val="22"/>
          <w:szCs w:val="22"/>
        </w:rPr>
      </w:pPr>
      <w:r w:rsidRPr="004829E3">
        <w:rPr>
          <w:color w:val="auto"/>
          <w:sz w:val="22"/>
          <w:szCs w:val="22"/>
        </w:rPr>
        <w:lastRenderedPageBreak/>
        <w:t>Posto quanto sopra e individuati “gli strumenti di pagamento diversi dal contante”,</w:t>
      </w:r>
      <w:r w:rsidR="00831089" w:rsidRPr="004829E3">
        <w:rPr>
          <w:color w:val="auto"/>
          <w:sz w:val="22"/>
          <w:szCs w:val="22"/>
        </w:rPr>
        <w:t xml:space="preserve"> la Fondazione </w:t>
      </w:r>
      <w:r w:rsidRPr="004829E3">
        <w:rPr>
          <w:color w:val="auto"/>
          <w:sz w:val="22"/>
          <w:szCs w:val="22"/>
        </w:rPr>
        <w:t>(con riferimento ai destinatari del presente protocollo di prevenzione) deve, con riguardo all’espletamento delle attività aventi ad oggetto la gestione dell’utilizzo dei suddetti strumenti e delle carte di credito, scrupolosamente osservare la normativa nazionale di riferimento, il Codice Etico, e le suddette procedure di prevenzione di cui al presente protocollo</w:t>
      </w:r>
      <w:r w:rsidR="00831089" w:rsidRPr="004829E3">
        <w:rPr>
          <w:color w:val="auto"/>
          <w:sz w:val="22"/>
          <w:szCs w:val="22"/>
        </w:rPr>
        <w:t>.</w:t>
      </w:r>
      <w:r w:rsidRPr="004829E3">
        <w:rPr>
          <w:color w:val="auto"/>
          <w:sz w:val="22"/>
          <w:szCs w:val="22"/>
        </w:rPr>
        <w:t xml:space="preserve"> </w:t>
      </w:r>
    </w:p>
    <w:p w14:paraId="6D5B47FF" w14:textId="77777777" w:rsidR="00D64156" w:rsidRPr="004829E3" w:rsidRDefault="00D64156" w:rsidP="00D64156">
      <w:pPr>
        <w:pStyle w:val="Default"/>
        <w:jc w:val="both"/>
        <w:rPr>
          <w:color w:val="auto"/>
          <w:sz w:val="22"/>
          <w:szCs w:val="22"/>
          <w:u w:val="single"/>
        </w:rPr>
      </w:pPr>
    </w:p>
    <w:p w14:paraId="345FF2D2" w14:textId="77777777" w:rsidR="00D64156" w:rsidRPr="004829E3" w:rsidRDefault="00D64156" w:rsidP="00D64156">
      <w:pPr>
        <w:pStyle w:val="Default"/>
        <w:jc w:val="both"/>
        <w:rPr>
          <w:color w:val="auto"/>
          <w:sz w:val="22"/>
          <w:szCs w:val="22"/>
          <w:u w:val="single"/>
        </w:rPr>
      </w:pPr>
    </w:p>
    <w:p w14:paraId="5FF32E44" w14:textId="77777777" w:rsidR="00D64156" w:rsidRPr="004829E3" w:rsidRDefault="00D64156" w:rsidP="00D64156">
      <w:pPr>
        <w:pStyle w:val="Default"/>
        <w:jc w:val="both"/>
        <w:rPr>
          <w:color w:val="auto"/>
          <w:sz w:val="22"/>
          <w:szCs w:val="22"/>
          <w:u w:val="single"/>
        </w:rPr>
      </w:pPr>
    </w:p>
    <w:p w14:paraId="0F42C797" w14:textId="751CC822" w:rsidR="00D64156" w:rsidRPr="004829E3" w:rsidRDefault="00D64156" w:rsidP="00D64156">
      <w:pPr>
        <w:pStyle w:val="Default"/>
        <w:jc w:val="both"/>
        <w:rPr>
          <w:b/>
          <w:bCs/>
          <w:i/>
          <w:iCs/>
          <w:color w:val="auto"/>
          <w:sz w:val="22"/>
          <w:szCs w:val="22"/>
          <w:u w:val="single"/>
        </w:rPr>
      </w:pPr>
      <w:r w:rsidRPr="004829E3">
        <w:rPr>
          <w:b/>
          <w:bCs/>
          <w:i/>
          <w:iCs/>
          <w:color w:val="auto"/>
          <w:sz w:val="22"/>
          <w:szCs w:val="22"/>
          <w:u w:val="single"/>
        </w:rPr>
        <w:t>d) ciclo attivo e passivo – gestione cassa contanti e valori bollati</w:t>
      </w:r>
    </w:p>
    <w:p w14:paraId="0FEF9A04" w14:textId="77777777" w:rsidR="00D64156" w:rsidRPr="004829E3" w:rsidRDefault="00D64156" w:rsidP="00D64156">
      <w:pPr>
        <w:pStyle w:val="Default"/>
        <w:jc w:val="both"/>
        <w:rPr>
          <w:color w:val="auto"/>
          <w:sz w:val="22"/>
          <w:szCs w:val="22"/>
          <w:u w:val="single"/>
        </w:rPr>
      </w:pPr>
    </w:p>
    <w:p w14:paraId="75F43ABB" w14:textId="77777777" w:rsidR="00D64156" w:rsidRPr="004829E3" w:rsidRDefault="00D64156" w:rsidP="00D64156">
      <w:pPr>
        <w:autoSpaceDE w:val="0"/>
        <w:autoSpaceDN w:val="0"/>
        <w:adjustRightInd w:val="0"/>
        <w:spacing w:after="0" w:line="240" w:lineRule="auto"/>
        <w:jc w:val="both"/>
        <w:rPr>
          <w:rFonts w:ascii="Arial" w:hAnsi="Arial" w:cs="Arial"/>
        </w:rPr>
      </w:pPr>
      <w:r w:rsidRPr="004829E3">
        <w:rPr>
          <w:rFonts w:ascii="Arial" w:hAnsi="Arial" w:cs="Arial"/>
        </w:rPr>
        <w:t>Ciascun valore di Stato – sia esso cartamoneta, filigrana, metallo o valore bollato – deve essere custodito e gestito al fine di evitare ogni danneggiamento, deterioramento o distruzione eccezion fatta per l’usura determinata dall’ordinario utilizzo.</w:t>
      </w:r>
    </w:p>
    <w:p w14:paraId="357E0960" w14:textId="77777777" w:rsidR="00D64156" w:rsidRPr="004829E3" w:rsidRDefault="00D64156" w:rsidP="00D64156">
      <w:pPr>
        <w:autoSpaceDE w:val="0"/>
        <w:autoSpaceDN w:val="0"/>
        <w:adjustRightInd w:val="0"/>
        <w:spacing w:after="0" w:line="240" w:lineRule="auto"/>
        <w:jc w:val="both"/>
        <w:rPr>
          <w:rFonts w:ascii="Arial" w:hAnsi="Arial" w:cs="Arial"/>
        </w:rPr>
      </w:pPr>
      <w:r w:rsidRPr="004829E3">
        <w:rPr>
          <w:rFonts w:ascii="Arial" w:hAnsi="Arial" w:cs="Arial"/>
        </w:rPr>
        <w:t>Ciascun valore di Stato, poi, deve essere trattato e gestito conformemente alle leggi e disposizioni previste in materia, e ai principi di cui al Codice Etico.</w:t>
      </w:r>
    </w:p>
    <w:p w14:paraId="3F3A8204" w14:textId="77777777" w:rsidR="00D64156" w:rsidRPr="004829E3" w:rsidRDefault="00D64156" w:rsidP="00D64156">
      <w:pPr>
        <w:pStyle w:val="Default"/>
        <w:jc w:val="both"/>
        <w:rPr>
          <w:color w:val="auto"/>
          <w:sz w:val="22"/>
          <w:szCs w:val="22"/>
          <w:u w:val="single"/>
        </w:rPr>
      </w:pPr>
    </w:p>
    <w:p w14:paraId="429A9AA3" w14:textId="77777777" w:rsidR="00D64156" w:rsidRPr="004829E3" w:rsidRDefault="00D64156" w:rsidP="00D64156">
      <w:pPr>
        <w:autoSpaceDE w:val="0"/>
        <w:autoSpaceDN w:val="0"/>
        <w:adjustRightInd w:val="0"/>
        <w:spacing w:after="0" w:line="240" w:lineRule="auto"/>
        <w:jc w:val="both"/>
        <w:rPr>
          <w:rFonts w:ascii="Arial" w:hAnsi="Arial" w:cs="Arial"/>
        </w:rPr>
      </w:pPr>
      <w:r w:rsidRPr="004829E3">
        <w:rPr>
          <w:rFonts w:ascii="Arial" w:hAnsi="Arial" w:cs="Arial"/>
        </w:rPr>
        <w:t>Ai fini della prevenzione dei reati di cui al d.lgs. 231/01 occorre segnatamente:</w:t>
      </w:r>
    </w:p>
    <w:p w14:paraId="402B281F" w14:textId="77777777" w:rsidR="00D64156" w:rsidRPr="004829E3" w:rsidRDefault="00D64156" w:rsidP="00D64156">
      <w:pPr>
        <w:autoSpaceDE w:val="0"/>
        <w:autoSpaceDN w:val="0"/>
        <w:adjustRightInd w:val="0"/>
        <w:spacing w:after="0" w:line="240" w:lineRule="auto"/>
        <w:jc w:val="both"/>
        <w:rPr>
          <w:rFonts w:ascii="Arial" w:hAnsi="Arial" w:cs="Arial"/>
        </w:rPr>
      </w:pPr>
    </w:p>
    <w:p w14:paraId="52AEFCFC" w14:textId="77777777" w:rsidR="00D64156" w:rsidRPr="004829E3" w:rsidRDefault="00D64156" w:rsidP="00D64156">
      <w:pPr>
        <w:autoSpaceDE w:val="0"/>
        <w:autoSpaceDN w:val="0"/>
        <w:adjustRightInd w:val="0"/>
        <w:spacing w:after="0" w:line="240" w:lineRule="auto"/>
        <w:jc w:val="both"/>
        <w:rPr>
          <w:rFonts w:ascii="Arial" w:hAnsi="Arial" w:cs="Arial"/>
          <w:i/>
          <w:iCs/>
        </w:rPr>
      </w:pPr>
      <w:r w:rsidRPr="004829E3">
        <w:rPr>
          <w:rFonts w:ascii="Arial" w:hAnsi="Arial" w:cs="Arial"/>
          <w:i/>
          <w:iCs/>
        </w:rPr>
        <w:t>1) banconote e monete</w:t>
      </w:r>
    </w:p>
    <w:p w14:paraId="1E2C3394" w14:textId="77777777" w:rsidR="00D64156" w:rsidRPr="004829E3" w:rsidRDefault="00D64156" w:rsidP="00D64156">
      <w:pPr>
        <w:autoSpaceDE w:val="0"/>
        <w:autoSpaceDN w:val="0"/>
        <w:adjustRightInd w:val="0"/>
        <w:spacing w:after="0" w:line="240" w:lineRule="auto"/>
        <w:jc w:val="both"/>
        <w:rPr>
          <w:rFonts w:ascii="Arial" w:hAnsi="Arial" w:cs="Arial"/>
        </w:rPr>
      </w:pPr>
      <w:r w:rsidRPr="004829E3">
        <w:rPr>
          <w:rFonts w:ascii="Arial" w:hAnsi="Arial" w:cs="Arial"/>
        </w:rPr>
        <w:t>- rispettare le procedure del presente Protocollo sopra descritte, con particolare riferimento alla tenuta di una prima nota contabile intellegibile, consultabile ed utilizzabile al fine della verifica delle giacenze effettive in relazione a quelle contabili;</w:t>
      </w:r>
    </w:p>
    <w:p w14:paraId="20C37B0D" w14:textId="77777777" w:rsidR="00D64156" w:rsidRPr="004829E3" w:rsidRDefault="00D64156" w:rsidP="00D64156">
      <w:pPr>
        <w:autoSpaceDE w:val="0"/>
        <w:autoSpaceDN w:val="0"/>
        <w:adjustRightInd w:val="0"/>
        <w:spacing w:after="0" w:line="240" w:lineRule="auto"/>
        <w:jc w:val="both"/>
        <w:rPr>
          <w:rFonts w:ascii="Arial" w:hAnsi="Arial" w:cs="Arial"/>
        </w:rPr>
      </w:pPr>
      <w:r w:rsidRPr="004829E3">
        <w:rPr>
          <w:rFonts w:ascii="Arial" w:hAnsi="Arial" w:cs="Arial"/>
        </w:rPr>
        <w:t>- nel caso di ricezione di banconota o moneta sospetta di falso:</w:t>
      </w:r>
    </w:p>
    <w:p w14:paraId="065463BD" w14:textId="77777777" w:rsidR="00D64156" w:rsidRPr="004829E3" w:rsidRDefault="00D64156" w:rsidP="00D64156">
      <w:pPr>
        <w:pStyle w:val="Paragrafoelenco"/>
        <w:numPr>
          <w:ilvl w:val="0"/>
          <w:numId w:val="25"/>
        </w:numPr>
        <w:autoSpaceDE w:val="0"/>
        <w:autoSpaceDN w:val="0"/>
        <w:adjustRightInd w:val="0"/>
        <w:spacing w:after="0" w:line="240" w:lineRule="auto"/>
        <w:jc w:val="both"/>
        <w:rPr>
          <w:rFonts w:ascii="Arial" w:hAnsi="Arial" w:cs="Arial"/>
        </w:rPr>
      </w:pPr>
      <w:r w:rsidRPr="004829E3">
        <w:rPr>
          <w:rFonts w:ascii="Arial" w:hAnsi="Arial" w:cs="Arial"/>
        </w:rPr>
        <w:t>redigere apposito report contenente data e ora del rinvenimento, fonte di provenienza della banconota e sottoscrizione del soggetto rinveniente;</w:t>
      </w:r>
    </w:p>
    <w:p w14:paraId="6E82FE1C" w14:textId="77777777" w:rsidR="00D64156" w:rsidRPr="004829E3" w:rsidRDefault="00D64156" w:rsidP="00D64156">
      <w:pPr>
        <w:pStyle w:val="Paragrafoelenco"/>
        <w:numPr>
          <w:ilvl w:val="0"/>
          <w:numId w:val="25"/>
        </w:numPr>
        <w:autoSpaceDE w:val="0"/>
        <w:autoSpaceDN w:val="0"/>
        <w:adjustRightInd w:val="0"/>
        <w:spacing w:after="0" w:line="240" w:lineRule="auto"/>
        <w:jc w:val="both"/>
        <w:rPr>
          <w:rFonts w:ascii="Arial" w:hAnsi="Arial" w:cs="Arial"/>
        </w:rPr>
      </w:pPr>
      <w:r w:rsidRPr="004829E3">
        <w:rPr>
          <w:rFonts w:ascii="Arial" w:hAnsi="Arial" w:cs="Arial"/>
        </w:rPr>
        <w:t>allegare al report copia fotostatica della banconota ovvero della moneta sospetta di falso;</w:t>
      </w:r>
    </w:p>
    <w:p w14:paraId="325B57B5" w14:textId="77777777" w:rsidR="00D64156" w:rsidRPr="004829E3" w:rsidRDefault="00D64156" w:rsidP="00D64156">
      <w:pPr>
        <w:pStyle w:val="Paragrafoelenco"/>
        <w:numPr>
          <w:ilvl w:val="0"/>
          <w:numId w:val="25"/>
        </w:numPr>
        <w:autoSpaceDE w:val="0"/>
        <w:autoSpaceDN w:val="0"/>
        <w:adjustRightInd w:val="0"/>
        <w:spacing w:after="0" w:line="240" w:lineRule="auto"/>
        <w:jc w:val="both"/>
        <w:rPr>
          <w:rFonts w:ascii="Arial" w:hAnsi="Arial" w:cs="Arial"/>
        </w:rPr>
      </w:pPr>
      <w:r w:rsidRPr="004829E3">
        <w:rPr>
          <w:rFonts w:ascii="Arial" w:hAnsi="Arial" w:cs="Arial"/>
        </w:rPr>
        <w:t>informare tempestivamente l’ODV a mezzo della trasmissione del report suddetto;</w:t>
      </w:r>
    </w:p>
    <w:p w14:paraId="75408501" w14:textId="77777777" w:rsidR="00D64156" w:rsidRPr="004829E3" w:rsidRDefault="00D64156" w:rsidP="00D64156">
      <w:pPr>
        <w:pStyle w:val="Paragrafoelenco"/>
        <w:numPr>
          <w:ilvl w:val="0"/>
          <w:numId w:val="25"/>
        </w:numPr>
        <w:autoSpaceDE w:val="0"/>
        <w:autoSpaceDN w:val="0"/>
        <w:adjustRightInd w:val="0"/>
        <w:spacing w:after="0" w:line="240" w:lineRule="auto"/>
        <w:jc w:val="both"/>
        <w:rPr>
          <w:rFonts w:ascii="Arial" w:hAnsi="Arial" w:cs="Arial"/>
        </w:rPr>
      </w:pPr>
      <w:r w:rsidRPr="004829E3">
        <w:rPr>
          <w:rFonts w:ascii="Arial" w:hAnsi="Arial" w:cs="Arial"/>
        </w:rPr>
        <w:t>far verificare alle competenti Pubbliche Autorità l’autenticità della banconota o della moneta, rendendo accessibili i dati raccolti a mezzo del report citato;</w:t>
      </w:r>
    </w:p>
    <w:p w14:paraId="473B77CA" w14:textId="77777777" w:rsidR="00D64156" w:rsidRPr="004829E3" w:rsidRDefault="00D64156" w:rsidP="00D64156">
      <w:pPr>
        <w:pStyle w:val="Paragrafoelenco"/>
        <w:numPr>
          <w:ilvl w:val="0"/>
          <w:numId w:val="25"/>
        </w:numPr>
        <w:autoSpaceDE w:val="0"/>
        <w:autoSpaceDN w:val="0"/>
        <w:adjustRightInd w:val="0"/>
        <w:spacing w:after="0" w:line="240" w:lineRule="auto"/>
        <w:jc w:val="both"/>
        <w:rPr>
          <w:rFonts w:ascii="Arial" w:hAnsi="Arial" w:cs="Arial"/>
        </w:rPr>
      </w:pPr>
      <w:r w:rsidRPr="004829E3">
        <w:rPr>
          <w:rFonts w:ascii="Arial" w:hAnsi="Arial" w:cs="Arial"/>
        </w:rPr>
        <w:t>chiudere il report esponendo l’esito dell’accertamento della Pubblica Autorità, se noto;</w:t>
      </w:r>
    </w:p>
    <w:p w14:paraId="4F6F671C" w14:textId="77777777" w:rsidR="00D64156" w:rsidRPr="004829E3" w:rsidRDefault="00D64156" w:rsidP="00D64156">
      <w:pPr>
        <w:pStyle w:val="Paragrafoelenco"/>
        <w:numPr>
          <w:ilvl w:val="0"/>
          <w:numId w:val="25"/>
        </w:numPr>
        <w:autoSpaceDE w:val="0"/>
        <w:autoSpaceDN w:val="0"/>
        <w:adjustRightInd w:val="0"/>
        <w:spacing w:after="0" w:line="240" w:lineRule="auto"/>
        <w:jc w:val="both"/>
        <w:rPr>
          <w:rFonts w:ascii="Arial" w:hAnsi="Arial" w:cs="Arial"/>
        </w:rPr>
      </w:pPr>
      <w:r w:rsidRPr="004829E3">
        <w:rPr>
          <w:rFonts w:ascii="Arial" w:hAnsi="Arial" w:cs="Arial"/>
        </w:rPr>
        <w:t>conservare il report così redatto in apposito faldone.</w:t>
      </w:r>
    </w:p>
    <w:p w14:paraId="7FD37822" w14:textId="77777777" w:rsidR="00D64156" w:rsidRPr="004829E3" w:rsidRDefault="00D64156" w:rsidP="00D64156">
      <w:pPr>
        <w:autoSpaceDE w:val="0"/>
        <w:autoSpaceDN w:val="0"/>
        <w:adjustRightInd w:val="0"/>
        <w:spacing w:after="0" w:line="240" w:lineRule="auto"/>
        <w:jc w:val="both"/>
        <w:rPr>
          <w:rFonts w:ascii="Arial" w:hAnsi="Arial" w:cs="Arial"/>
        </w:rPr>
      </w:pPr>
    </w:p>
    <w:p w14:paraId="6EB49DD2" w14:textId="77777777" w:rsidR="00D64156" w:rsidRPr="004829E3" w:rsidRDefault="00D64156" w:rsidP="00D64156">
      <w:pPr>
        <w:autoSpaceDE w:val="0"/>
        <w:autoSpaceDN w:val="0"/>
        <w:adjustRightInd w:val="0"/>
        <w:spacing w:after="0" w:line="240" w:lineRule="auto"/>
        <w:jc w:val="both"/>
        <w:rPr>
          <w:rFonts w:ascii="Arial" w:hAnsi="Arial" w:cs="Arial"/>
          <w:i/>
          <w:iCs/>
        </w:rPr>
      </w:pPr>
      <w:r w:rsidRPr="004829E3">
        <w:rPr>
          <w:rFonts w:ascii="Arial" w:hAnsi="Arial" w:cs="Arial"/>
          <w:i/>
          <w:iCs/>
        </w:rPr>
        <w:t>2) valori bollati</w:t>
      </w:r>
    </w:p>
    <w:p w14:paraId="221769AB" w14:textId="77777777" w:rsidR="00D64156" w:rsidRPr="004829E3" w:rsidRDefault="00D64156" w:rsidP="00D64156">
      <w:pPr>
        <w:autoSpaceDE w:val="0"/>
        <w:autoSpaceDN w:val="0"/>
        <w:adjustRightInd w:val="0"/>
        <w:spacing w:after="0" w:line="240" w:lineRule="auto"/>
        <w:jc w:val="both"/>
        <w:rPr>
          <w:rFonts w:ascii="Arial" w:hAnsi="Arial" w:cs="Arial"/>
        </w:rPr>
      </w:pPr>
      <w:r w:rsidRPr="004829E3">
        <w:rPr>
          <w:rFonts w:ascii="Arial" w:hAnsi="Arial" w:cs="Arial"/>
        </w:rPr>
        <w:t>- rispettare le procedure del presente Protocollo sopra descritte;</w:t>
      </w:r>
    </w:p>
    <w:p w14:paraId="773D79A5" w14:textId="77777777" w:rsidR="00D64156" w:rsidRPr="004829E3" w:rsidRDefault="00D64156" w:rsidP="00D64156">
      <w:pPr>
        <w:autoSpaceDE w:val="0"/>
        <w:autoSpaceDN w:val="0"/>
        <w:adjustRightInd w:val="0"/>
        <w:spacing w:after="0" w:line="240" w:lineRule="auto"/>
        <w:jc w:val="both"/>
        <w:rPr>
          <w:rFonts w:ascii="Arial" w:hAnsi="Arial" w:cs="Arial"/>
        </w:rPr>
      </w:pPr>
      <w:r w:rsidRPr="004829E3">
        <w:rPr>
          <w:rFonts w:ascii="Arial" w:hAnsi="Arial" w:cs="Arial"/>
        </w:rPr>
        <w:t>- dotarsi di apposito registro di carico/scarico dei valori bollati sul quale devono essere riportati i momenti di carico (con allegazione del documento di cui al punto successivo) ed i momenti di scarico (con sintetica descrizione della causale), suddivisi per pezzature e con indicazione del numero di pezzi e del valore complessivo;</w:t>
      </w:r>
    </w:p>
    <w:p w14:paraId="0C709572" w14:textId="77777777" w:rsidR="00D64156" w:rsidRPr="004829E3" w:rsidRDefault="00D64156" w:rsidP="00D64156">
      <w:pPr>
        <w:autoSpaceDE w:val="0"/>
        <w:autoSpaceDN w:val="0"/>
        <w:adjustRightInd w:val="0"/>
        <w:spacing w:after="0" w:line="240" w:lineRule="auto"/>
        <w:jc w:val="both"/>
        <w:rPr>
          <w:rFonts w:ascii="Arial" w:hAnsi="Arial" w:cs="Arial"/>
        </w:rPr>
      </w:pPr>
      <w:r w:rsidRPr="004829E3">
        <w:rPr>
          <w:rFonts w:ascii="Arial" w:hAnsi="Arial" w:cs="Arial"/>
        </w:rPr>
        <w:t>- acquistare i valori bollati presso gli esercizi abilitati previa vidimazione da parte degli stessi di elenco dettagliato dei valori acquistati;</w:t>
      </w:r>
    </w:p>
    <w:p w14:paraId="5621FC79" w14:textId="77777777" w:rsidR="00D64156" w:rsidRPr="004829E3" w:rsidRDefault="00D64156" w:rsidP="00D64156">
      <w:pPr>
        <w:autoSpaceDE w:val="0"/>
        <w:autoSpaceDN w:val="0"/>
        <w:adjustRightInd w:val="0"/>
        <w:spacing w:after="0" w:line="240" w:lineRule="auto"/>
        <w:jc w:val="both"/>
        <w:rPr>
          <w:rFonts w:ascii="Arial" w:hAnsi="Arial" w:cs="Arial"/>
        </w:rPr>
      </w:pPr>
      <w:r w:rsidRPr="004829E3">
        <w:rPr>
          <w:rFonts w:ascii="Arial" w:hAnsi="Arial" w:cs="Arial"/>
        </w:rPr>
        <w:t>- nel caso di ricezione valore bollato sospetto di falso:</w:t>
      </w:r>
    </w:p>
    <w:p w14:paraId="70DF816D" w14:textId="77777777" w:rsidR="00D64156" w:rsidRPr="004829E3" w:rsidRDefault="00D64156" w:rsidP="00D64156">
      <w:pPr>
        <w:pStyle w:val="Paragrafoelenco"/>
        <w:numPr>
          <w:ilvl w:val="0"/>
          <w:numId w:val="26"/>
        </w:numPr>
        <w:autoSpaceDE w:val="0"/>
        <w:autoSpaceDN w:val="0"/>
        <w:adjustRightInd w:val="0"/>
        <w:spacing w:after="0" w:line="240" w:lineRule="auto"/>
        <w:jc w:val="both"/>
        <w:rPr>
          <w:rFonts w:ascii="Arial" w:hAnsi="Arial" w:cs="Arial"/>
        </w:rPr>
      </w:pPr>
      <w:r w:rsidRPr="004829E3">
        <w:rPr>
          <w:rFonts w:ascii="Arial" w:hAnsi="Arial" w:cs="Arial"/>
        </w:rPr>
        <w:t>redigere apposito report contenente data e ora del rinvenimento, fonte di provenienza del valore bollato e sottoscrizione del soggetto rinveniente;</w:t>
      </w:r>
    </w:p>
    <w:p w14:paraId="497519C6" w14:textId="77777777" w:rsidR="00D64156" w:rsidRPr="004829E3" w:rsidRDefault="00D64156" w:rsidP="00D64156">
      <w:pPr>
        <w:pStyle w:val="Default"/>
        <w:numPr>
          <w:ilvl w:val="0"/>
          <w:numId w:val="26"/>
        </w:numPr>
        <w:jc w:val="both"/>
        <w:rPr>
          <w:color w:val="auto"/>
          <w:sz w:val="22"/>
          <w:szCs w:val="22"/>
          <w:u w:val="single"/>
        </w:rPr>
      </w:pPr>
      <w:r w:rsidRPr="004829E3">
        <w:rPr>
          <w:color w:val="auto"/>
          <w:sz w:val="22"/>
          <w:szCs w:val="22"/>
        </w:rPr>
        <w:t>allegare al report copia fotostatica del valore bollato sospetto di falso;</w:t>
      </w:r>
    </w:p>
    <w:p w14:paraId="2C6A9F6A" w14:textId="77777777" w:rsidR="00D64156" w:rsidRPr="004829E3" w:rsidRDefault="00D64156" w:rsidP="00D64156">
      <w:pPr>
        <w:pStyle w:val="Paragrafoelenco"/>
        <w:numPr>
          <w:ilvl w:val="0"/>
          <w:numId w:val="26"/>
        </w:numPr>
        <w:autoSpaceDE w:val="0"/>
        <w:autoSpaceDN w:val="0"/>
        <w:adjustRightInd w:val="0"/>
        <w:spacing w:after="0" w:line="240" w:lineRule="auto"/>
        <w:jc w:val="both"/>
        <w:rPr>
          <w:rFonts w:ascii="Arial" w:hAnsi="Arial" w:cs="Arial"/>
        </w:rPr>
      </w:pPr>
      <w:r w:rsidRPr="004829E3">
        <w:rPr>
          <w:rFonts w:ascii="Arial" w:hAnsi="Arial" w:cs="Arial"/>
        </w:rPr>
        <w:t>informare tempestivamente l’ODV a mezzo della trasmissione del report suddetto;</w:t>
      </w:r>
    </w:p>
    <w:p w14:paraId="11728139" w14:textId="77777777" w:rsidR="00D64156" w:rsidRPr="004829E3" w:rsidRDefault="00D64156" w:rsidP="00D64156">
      <w:pPr>
        <w:pStyle w:val="Paragrafoelenco"/>
        <w:numPr>
          <w:ilvl w:val="0"/>
          <w:numId w:val="26"/>
        </w:numPr>
        <w:autoSpaceDE w:val="0"/>
        <w:autoSpaceDN w:val="0"/>
        <w:adjustRightInd w:val="0"/>
        <w:spacing w:after="0" w:line="240" w:lineRule="auto"/>
        <w:jc w:val="both"/>
        <w:rPr>
          <w:rFonts w:ascii="Arial" w:hAnsi="Arial" w:cs="Arial"/>
        </w:rPr>
      </w:pPr>
      <w:r w:rsidRPr="004829E3">
        <w:rPr>
          <w:rFonts w:ascii="Arial" w:hAnsi="Arial" w:cs="Arial"/>
        </w:rPr>
        <w:t>far verificare alle competenti Pubbliche Autorità l’autenticità del valore bollato, rendendo accessibili i dati raccolti a mezzo del report citato;</w:t>
      </w:r>
    </w:p>
    <w:p w14:paraId="70D427C5" w14:textId="77777777" w:rsidR="00D64156" w:rsidRPr="004829E3" w:rsidRDefault="00D64156" w:rsidP="00D64156">
      <w:pPr>
        <w:pStyle w:val="Paragrafoelenco"/>
        <w:numPr>
          <w:ilvl w:val="0"/>
          <w:numId w:val="26"/>
        </w:numPr>
        <w:autoSpaceDE w:val="0"/>
        <w:autoSpaceDN w:val="0"/>
        <w:adjustRightInd w:val="0"/>
        <w:spacing w:after="0" w:line="240" w:lineRule="auto"/>
        <w:jc w:val="both"/>
        <w:rPr>
          <w:rFonts w:ascii="Arial" w:hAnsi="Arial" w:cs="Arial"/>
        </w:rPr>
      </w:pPr>
      <w:r w:rsidRPr="004829E3">
        <w:rPr>
          <w:rFonts w:ascii="Arial" w:hAnsi="Arial" w:cs="Arial"/>
        </w:rPr>
        <w:t>chiudere il report esponendo l’esito dell’accertamento della Pubblica Autorità, se noto;</w:t>
      </w:r>
    </w:p>
    <w:p w14:paraId="16069606" w14:textId="77777777" w:rsidR="00D64156" w:rsidRPr="004829E3" w:rsidRDefault="00D64156" w:rsidP="00D64156">
      <w:pPr>
        <w:pStyle w:val="Default"/>
        <w:numPr>
          <w:ilvl w:val="0"/>
          <w:numId w:val="26"/>
        </w:numPr>
        <w:jc w:val="both"/>
        <w:rPr>
          <w:color w:val="auto"/>
          <w:sz w:val="22"/>
          <w:szCs w:val="22"/>
          <w:u w:val="single"/>
        </w:rPr>
      </w:pPr>
      <w:r w:rsidRPr="004829E3">
        <w:rPr>
          <w:color w:val="auto"/>
          <w:sz w:val="22"/>
          <w:szCs w:val="22"/>
        </w:rPr>
        <w:t>conservare il report così redatto in apposito faldone a disposizione dell’ODV.</w:t>
      </w:r>
    </w:p>
    <w:p w14:paraId="15B6158F" w14:textId="77777777" w:rsidR="00D64156" w:rsidRPr="004829E3" w:rsidRDefault="00D64156" w:rsidP="00D64156">
      <w:pPr>
        <w:pStyle w:val="Default"/>
        <w:ind w:left="720"/>
        <w:jc w:val="both"/>
        <w:rPr>
          <w:color w:val="auto"/>
          <w:sz w:val="22"/>
          <w:szCs w:val="22"/>
          <w:u w:val="single"/>
        </w:rPr>
      </w:pPr>
    </w:p>
    <w:p w14:paraId="0565DD54" w14:textId="77777777" w:rsidR="00D64156" w:rsidRPr="004829E3" w:rsidRDefault="00D64156" w:rsidP="00D64156">
      <w:pPr>
        <w:pStyle w:val="Default"/>
        <w:ind w:left="720"/>
        <w:jc w:val="both"/>
        <w:rPr>
          <w:color w:val="auto"/>
          <w:sz w:val="22"/>
          <w:szCs w:val="22"/>
          <w:u w:val="single"/>
        </w:rPr>
      </w:pPr>
    </w:p>
    <w:p w14:paraId="61B6E82B" w14:textId="77777777" w:rsidR="00FA0CFC" w:rsidRPr="004829E3" w:rsidRDefault="00FA0CFC" w:rsidP="00FA0CFC">
      <w:pPr>
        <w:pStyle w:val="Default"/>
        <w:spacing w:after="113"/>
        <w:jc w:val="both"/>
        <w:rPr>
          <w:color w:val="auto"/>
          <w:sz w:val="22"/>
          <w:szCs w:val="22"/>
        </w:rPr>
      </w:pPr>
    </w:p>
    <w:p w14:paraId="3721B3F0" w14:textId="77777777" w:rsidR="0041212D" w:rsidRPr="004829E3" w:rsidRDefault="0041212D" w:rsidP="00FA0CFC">
      <w:pPr>
        <w:pStyle w:val="Default"/>
        <w:spacing w:after="113"/>
        <w:jc w:val="both"/>
        <w:rPr>
          <w:color w:val="auto"/>
          <w:sz w:val="22"/>
          <w:szCs w:val="22"/>
        </w:rPr>
      </w:pPr>
    </w:p>
    <w:p w14:paraId="71C87D95" w14:textId="77777777" w:rsidR="0041212D" w:rsidRPr="004829E3" w:rsidRDefault="0041212D" w:rsidP="00FA0CFC">
      <w:pPr>
        <w:pStyle w:val="Default"/>
        <w:spacing w:after="113"/>
        <w:jc w:val="both"/>
        <w:rPr>
          <w:color w:val="auto"/>
          <w:sz w:val="22"/>
          <w:szCs w:val="22"/>
        </w:rPr>
      </w:pPr>
    </w:p>
    <w:p w14:paraId="64A252CD" w14:textId="77777777" w:rsidR="00200D1C" w:rsidRPr="004829E3" w:rsidRDefault="00200D1C" w:rsidP="00200D1C">
      <w:pPr>
        <w:pStyle w:val="Default"/>
        <w:numPr>
          <w:ilvl w:val="0"/>
          <w:numId w:val="12"/>
        </w:numPr>
        <w:rPr>
          <w:color w:val="auto"/>
          <w:sz w:val="22"/>
          <w:szCs w:val="22"/>
        </w:rPr>
      </w:pPr>
    </w:p>
    <w:p w14:paraId="424F6C59" w14:textId="1ABA7B18" w:rsidR="00200D1C" w:rsidRPr="004829E3" w:rsidRDefault="00200D1C" w:rsidP="0035240C">
      <w:pPr>
        <w:pStyle w:val="Default"/>
        <w:numPr>
          <w:ilvl w:val="0"/>
          <w:numId w:val="23"/>
        </w:numPr>
        <w:rPr>
          <w:b/>
          <w:bCs/>
          <w:color w:val="auto"/>
          <w:sz w:val="22"/>
          <w:szCs w:val="22"/>
        </w:rPr>
      </w:pPr>
      <w:r w:rsidRPr="004829E3">
        <w:rPr>
          <w:b/>
          <w:bCs/>
          <w:color w:val="auto"/>
          <w:sz w:val="22"/>
          <w:szCs w:val="22"/>
        </w:rPr>
        <w:lastRenderedPageBreak/>
        <w:t xml:space="preserve">Attività dell’ODV </w:t>
      </w:r>
    </w:p>
    <w:p w14:paraId="7BFC5F0E" w14:textId="77777777" w:rsidR="00200D1C" w:rsidRPr="004829E3" w:rsidRDefault="00200D1C" w:rsidP="00C43B9B">
      <w:pPr>
        <w:pStyle w:val="Default"/>
        <w:ind w:left="720"/>
        <w:rPr>
          <w:color w:val="auto"/>
          <w:sz w:val="22"/>
          <w:szCs w:val="22"/>
        </w:rPr>
      </w:pPr>
    </w:p>
    <w:p w14:paraId="7CC65796" w14:textId="77777777" w:rsidR="00B21149" w:rsidRPr="004829E3" w:rsidRDefault="00B21149" w:rsidP="00B21149">
      <w:pPr>
        <w:spacing w:after="0" w:line="248" w:lineRule="auto"/>
        <w:ind w:left="8" w:hanging="8"/>
        <w:jc w:val="both"/>
        <w:rPr>
          <w:rFonts w:ascii="Arial" w:eastAsia="Times New Roman" w:hAnsi="Arial" w:cs="Arial"/>
          <w:lang w:val="en-US"/>
        </w:rPr>
      </w:pPr>
      <w:proofErr w:type="spellStart"/>
      <w:r w:rsidRPr="004829E3">
        <w:rPr>
          <w:rFonts w:ascii="Arial" w:eastAsia="Times New Roman" w:hAnsi="Arial" w:cs="Arial"/>
          <w:lang w:val="en-US"/>
        </w:rPr>
        <w:t>Premessi</w:t>
      </w:r>
      <w:proofErr w:type="spellEnd"/>
      <w:r w:rsidRPr="004829E3">
        <w:rPr>
          <w:rFonts w:ascii="Arial" w:eastAsia="Times New Roman" w:hAnsi="Arial" w:cs="Arial"/>
          <w:lang w:val="en-US"/>
        </w:rPr>
        <w:t xml:space="preserve"> </w:t>
      </w:r>
      <w:proofErr w:type="spellStart"/>
      <w:r w:rsidRPr="004829E3">
        <w:rPr>
          <w:rFonts w:ascii="Arial" w:eastAsia="Times New Roman" w:hAnsi="Arial" w:cs="Arial"/>
          <w:lang w:val="en-US"/>
        </w:rPr>
        <w:t>i</w:t>
      </w:r>
      <w:proofErr w:type="spellEnd"/>
      <w:r w:rsidRPr="004829E3">
        <w:rPr>
          <w:rFonts w:ascii="Arial" w:eastAsia="Times New Roman" w:hAnsi="Arial" w:cs="Arial"/>
          <w:lang w:val="en-US"/>
        </w:rPr>
        <w:t xml:space="preserve"> </w:t>
      </w:r>
      <w:proofErr w:type="spellStart"/>
      <w:r w:rsidRPr="004829E3">
        <w:rPr>
          <w:rFonts w:ascii="Arial" w:eastAsia="Times New Roman" w:hAnsi="Arial" w:cs="Arial"/>
          <w:lang w:val="en-US"/>
        </w:rPr>
        <w:t>generali</w:t>
      </w:r>
      <w:proofErr w:type="spellEnd"/>
      <w:r w:rsidRPr="004829E3">
        <w:rPr>
          <w:rFonts w:ascii="Arial" w:eastAsia="Times New Roman" w:hAnsi="Arial" w:cs="Arial"/>
          <w:lang w:val="en-US"/>
        </w:rPr>
        <w:t xml:space="preserve"> </w:t>
      </w:r>
      <w:proofErr w:type="spellStart"/>
      <w:r w:rsidRPr="004829E3">
        <w:rPr>
          <w:rFonts w:ascii="Arial" w:eastAsia="Times New Roman" w:hAnsi="Arial" w:cs="Arial"/>
          <w:lang w:val="en-US"/>
        </w:rPr>
        <w:t>poteri</w:t>
      </w:r>
      <w:proofErr w:type="spellEnd"/>
      <w:r w:rsidRPr="004829E3">
        <w:rPr>
          <w:rFonts w:ascii="Arial" w:eastAsia="Times New Roman" w:hAnsi="Arial" w:cs="Arial"/>
          <w:lang w:val="en-US"/>
        </w:rPr>
        <w:t xml:space="preserve"> di </w:t>
      </w:r>
      <w:proofErr w:type="spellStart"/>
      <w:r w:rsidRPr="004829E3">
        <w:rPr>
          <w:rFonts w:ascii="Arial" w:eastAsia="Times New Roman" w:hAnsi="Arial" w:cs="Arial"/>
          <w:lang w:val="en-US"/>
        </w:rPr>
        <w:t>iniziativa</w:t>
      </w:r>
      <w:proofErr w:type="spellEnd"/>
      <w:r w:rsidRPr="004829E3">
        <w:rPr>
          <w:rFonts w:ascii="Arial" w:eastAsia="Times New Roman" w:hAnsi="Arial" w:cs="Arial"/>
          <w:lang w:val="en-US"/>
        </w:rPr>
        <w:t xml:space="preserve"> e </w:t>
      </w:r>
      <w:proofErr w:type="spellStart"/>
      <w:r w:rsidRPr="004829E3">
        <w:rPr>
          <w:rFonts w:ascii="Arial" w:eastAsia="Times New Roman" w:hAnsi="Arial" w:cs="Arial"/>
          <w:lang w:val="en-US"/>
        </w:rPr>
        <w:t>controllo</w:t>
      </w:r>
      <w:proofErr w:type="spellEnd"/>
      <w:r w:rsidRPr="004829E3">
        <w:rPr>
          <w:rFonts w:ascii="Arial" w:eastAsia="Times New Roman" w:hAnsi="Arial" w:cs="Arial"/>
          <w:lang w:val="en-US"/>
        </w:rPr>
        <w:t xml:space="preserve">, </w:t>
      </w:r>
      <w:proofErr w:type="spellStart"/>
      <w:r w:rsidRPr="004829E3">
        <w:rPr>
          <w:rFonts w:ascii="Arial" w:eastAsia="Times New Roman" w:hAnsi="Arial" w:cs="Arial"/>
          <w:lang w:val="en-US"/>
        </w:rPr>
        <w:t>l’ODV</w:t>
      </w:r>
      <w:proofErr w:type="spellEnd"/>
      <w:r w:rsidRPr="004829E3">
        <w:rPr>
          <w:rFonts w:ascii="Arial" w:eastAsia="Times New Roman" w:hAnsi="Arial" w:cs="Arial"/>
          <w:lang w:val="en-US"/>
        </w:rPr>
        <w:t xml:space="preserve"> ha </w:t>
      </w:r>
      <w:proofErr w:type="spellStart"/>
      <w:r w:rsidRPr="004829E3">
        <w:rPr>
          <w:rFonts w:ascii="Arial" w:eastAsia="Times New Roman" w:hAnsi="Arial" w:cs="Arial"/>
          <w:lang w:val="en-US"/>
        </w:rPr>
        <w:t>facoltà</w:t>
      </w:r>
      <w:proofErr w:type="spellEnd"/>
      <w:r w:rsidRPr="004829E3">
        <w:rPr>
          <w:rFonts w:ascii="Arial" w:eastAsia="Times New Roman" w:hAnsi="Arial" w:cs="Arial"/>
          <w:lang w:val="en-US"/>
        </w:rPr>
        <w:t xml:space="preserve"> di </w:t>
      </w:r>
      <w:proofErr w:type="spellStart"/>
      <w:r w:rsidRPr="004829E3">
        <w:rPr>
          <w:rFonts w:ascii="Arial" w:eastAsia="Times New Roman" w:hAnsi="Arial" w:cs="Arial"/>
          <w:lang w:val="en-US"/>
        </w:rPr>
        <w:t>prendere</w:t>
      </w:r>
      <w:proofErr w:type="spellEnd"/>
      <w:r w:rsidRPr="004829E3">
        <w:rPr>
          <w:rFonts w:ascii="Arial" w:eastAsia="Times New Roman" w:hAnsi="Arial" w:cs="Arial"/>
          <w:lang w:val="en-US"/>
        </w:rPr>
        <w:t xml:space="preserve"> </w:t>
      </w:r>
      <w:proofErr w:type="spellStart"/>
      <w:r w:rsidRPr="004829E3">
        <w:rPr>
          <w:rFonts w:ascii="Arial" w:eastAsia="Times New Roman" w:hAnsi="Arial" w:cs="Arial"/>
          <w:lang w:val="en-US"/>
        </w:rPr>
        <w:t>visione</w:t>
      </w:r>
      <w:proofErr w:type="spellEnd"/>
      <w:r w:rsidRPr="004829E3">
        <w:rPr>
          <w:rFonts w:ascii="Arial" w:eastAsia="Times New Roman" w:hAnsi="Arial" w:cs="Arial"/>
          <w:lang w:val="en-US"/>
        </w:rPr>
        <w:t xml:space="preserve"> di tutti </w:t>
      </w:r>
      <w:proofErr w:type="spellStart"/>
      <w:r w:rsidRPr="004829E3">
        <w:rPr>
          <w:rFonts w:ascii="Arial" w:eastAsia="Times New Roman" w:hAnsi="Arial" w:cs="Arial"/>
          <w:lang w:val="en-US"/>
        </w:rPr>
        <w:t>i</w:t>
      </w:r>
      <w:proofErr w:type="spellEnd"/>
      <w:r w:rsidRPr="004829E3">
        <w:rPr>
          <w:rFonts w:ascii="Arial" w:eastAsia="Times New Roman" w:hAnsi="Arial" w:cs="Arial"/>
          <w:lang w:val="en-US"/>
        </w:rPr>
        <w:t xml:space="preserve"> </w:t>
      </w:r>
      <w:proofErr w:type="spellStart"/>
      <w:r w:rsidRPr="004829E3">
        <w:rPr>
          <w:rFonts w:ascii="Arial" w:eastAsia="Times New Roman" w:hAnsi="Arial" w:cs="Arial"/>
          <w:lang w:val="en-US"/>
        </w:rPr>
        <w:t>documenti</w:t>
      </w:r>
      <w:proofErr w:type="spellEnd"/>
      <w:r w:rsidRPr="004829E3">
        <w:rPr>
          <w:rFonts w:ascii="Arial" w:eastAsia="Times New Roman" w:hAnsi="Arial" w:cs="Arial"/>
          <w:lang w:val="en-US"/>
        </w:rPr>
        <w:t xml:space="preserve"> </w:t>
      </w:r>
      <w:proofErr w:type="spellStart"/>
      <w:r w:rsidRPr="004829E3">
        <w:rPr>
          <w:rFonts w:ascii="Arial" w:eastAsia="Times New Roman" w:hAnsi="Arial" w:cs="Arial"/>
          <w:lang w:val="en-US"/>
        </w:rPr>
        <w:t>concernenti</w:t>
      </w:r>
      <w:proofErr w:type="spellEnd"/>
      <w:r w:rsidRPr="004829E3">
        <w:rPr>
          <w:rFonts w:ascii="Arial" w:eastAsia="Times New Roman" w:hAnsi="Arial" w:cs="Arial"/>
          <w:lang w:val="en-US"/>
        </w:rPr>
        <w:t xml:space="preserve"> </w:t>
      </w:r>
      <w:proofErr w:type="spellStart"/>
      <w:r w:rsidRPr="004829E3">
        <w:rPr>
          <w:rFonts w:ascii="Arial" w:eastAsia="Times New Roman" w:hAnsi="Arial" w:cs="Arial"/>
          <w:lang w:val="en-US"/>
        </w:rPr>
        <w:t>i</w:t>
      </w:r>
      <w:proofErr w:type="spellEnd"/>
      <w:r w:rsidRPr="004829E3">
        <w:rPr>
          <w:rFonts w:ascii="Arial" w:eastAsia="Times New Roman" w:hAnsi="Arial" w:cs="Arial"/>
          <w:lang w:val="en-US"/>
        </w:rPr>
        <w:t xml:space="preserve"> </w:t>
      </w:r>
      <w:proofErr w:type="spellStart"/>
      <w:r w:rsidRPr="004829E3">
        <w:rPr>
          <w:rFonts w:ascii="Arial" w:eastAsia="Times New Roman" w:hAnsi="Arial" w:cs="Arial"/>
          <w:lang w:val="en-US"/>
        </w:rPr>
        <w:t>flussi</w:t>
      </w:r>
      <w:proofErr w:type="spellEnd"/>
      <w:r w:rsidRPr="004829E3">
        <w:rPr>
          <w:rFonts w:ascii="Arial" w:eastAsia="Times New Roman" w:hAnsi="Arial" w:cs="Arial"/>
          <w:lang w:val="en-US"/>
        </w:rPr>
        <w:t xml:space="preserve"> </w:t>
      </w:r>
      <w:proofErr w:type="spellStart"/>
      <w:r w:rsidRPr="004829E3">
        <w:rPr>
          <w:rFonts w:ascii="Arial" w:eastAsia="Times New Roman" w:hAnsi="Arial" w:cs="Arial"/>
          <w:lang w:val="en-US"/>
        </w:rPr>
        <w:t>finanziari</w:t>
      </w:r>
      <w:proofErr w:type="spellEnd"/>
      <w:r w:rsidRPr="004829E3">
        <w:rPr>
          <w:rFonts w:ascii="Arial" w:eastAsia="Times New Roman" w:hAnsi="Arial" w:cs="Arial"/>
          <w:lang w:val="en-US"/>
        </w:rPr>
        <w:t xml:space="preserve">, al fine di </w:t>
      </w:r>
      <w:proofErr w:type="spellStart"/>
      <w:r w:rsidRPr="004829E3">
        <w:rPr>
          <w:rFonts w:ascii="Arial" w:eastAsia="Times New Roman" w:hAnsi="Arial" w:cs="Arial"/>
          <w:lang w:val="en-US"/>
        </w:rPr>
        <w:t>verificare</w:t>
      </w:r>
      <w:proofErr w:type="spellEnd"/>
      <w:r w:rsidRPr="004829E3">
        <w:rPr>
          <w:rFonts w:ascii="Arial" w:eastAsia="Times New Roman" w:hAnsi="Arial" w:cs="Arial"/>
          <w:lang w:val="en-US"/>
        </w:rPr>
        <w:t xml:space="preserve"> la </w:t>
      </w:r>
      <w:proofErr w:type="spellStart"/>
      <w:r w:rsidRPr="004829E3">
        <w:rPr>
          <w:rFonts w:ascii="Arial" w:eastAsia="Times New Roman" w:hAnsi="Arial" w:cs="Arial"/>
          <w:lang w:val="en-US"/>
        </w:rPr>
        <w:t>corrispondenza</w:t>
      </w:r>
      <w:proofErr w:type="spellEnd"/>
      <w:r w:rsidRPr="004829E3">
        <w:rPr>
          <w:rFonts w:ascii="Arial" w:eastAsia="Times New Roman" w:hAnsi="Arial" w:cs="Arial"/>
          <w:lang w:val="en-US"/>
        </w:rPr>
        <w:t xml:space="preserve">, la </w:t>
      </w:r>
      <w:proofErr w:type="spellStart"/>
      <w:r w:rsidRPr="004829E3">
        <w:rPr>
          <w:rFonts w:ascii="Arial" w:eastAsia="Times New Roman" w:hAnsi="Arial" w:cs="Arial"/>
          <w:lang w:val="en-US"/>
        </w:rPr>
        <w:t>trasparenza</w:t>
      </w:r>
      <w:proofErr w:type="spellEnd"/>
      <w:r w:rsidRPr="004829E3">
        <w:rPr>
          <w:rFonts w:ascii="Arial" w:eastAsia="Times New Roman" w:hAnsi="Arial" w:cs="Arial"/>
          <w:lang w:val="en-US"/>
        </w:rPr>
        <w:t xml:space="preserve"> e la </w:t>
      </w:r>
      <w:proofErr w:type="spellStart"/>
      <w:r w:rsidRPr="004829E3">
        <w:rPr>
          <w:rFonts w:ascii="Arial" w:eastAsia="Times New Roman" w:hAnsi="Arial" w:cs="Arial"/>
          <w:lang w:val="en-US"/>
        </w:rPr>
        <w:t>univocità</w:t>
      </w:r>
      <w:proofErr w:type="spellEnd"/>
      <w:r w:rsidRPr="004829E3">
        <w:rPr>
          <w:rFonts w:ascii="Arial" w:eastAsia="Times New Roman" w:hAnsi="Arial" w:cs="Arial"/>
          <w:lang w:val="en-US"/>
        </w:rPr>
        <w:t xml:space="preserve"> </w:t>
      </w:r>
      <w:proofErr w:type="spellStart"/>
      <w:r w:rsidRPr="004829E3">
        <w:rPr>
          <w:rFonts w:ascii="Arial" w:eastAsia="Times New Roman" w:hAnsi="Arial" w:cs="Arial"/>
          <w:lang w:val="en-US"/>
        </w:rPr>
        <w:t>degli</w:t>
      </w:r>
      <w:proofErr w:type="spellEnd"/>
      <w:r w:rsidRPr="004829E3">
        <w:rPr>
          <w:rFonts w:ascii="Arial" w:eastAsia="Times New Roman" w:hAnsi="Arial" w:cs="Arial"/>
          <w:lang w:val="en-US"/>
        </w:rPr>
        <w:t xml:space="preserve"> </w:t>
      </w:r>
      <w:proofErr w:type="spellStart"/>
      <w:r w:rsidRPr="004829E3">
        <w:rPr>
          <w:rFonts w:ascii="Arial" w:eastAsia="Times New Roman" w:hAnsi="Arial" w:cs="Arial"/>
          <w:lang w:val="en-US"/>
        </w:rPr>
        <w:t>stessi</w:t>
      </w:r>
      <w:proofErr w:type="spellEnd"/>
      <w:r w:rsidRPr="004829E3">
        <w:rPr>
          <w:rFonts w:ascii="Arial" w:eastAsia="Times New Roman" w:hAnsi="Arial" w:cs="Arial"/>
          <w:lang w:val="en-US"/>
        </w:rPr>
        <w:t>.</w:t>
      </w:r>
    </w:p>
    <w:p w14:paraId="601B079B" w14:textId="60279B6D" w:rsidR="00B21149" w:rsidRPr="004829E3" w:rsidRDefault="00B21149" w:rsidP="00B21149">
      <w:pPr>
        <w:spacing w:after="0" w:line="248" w:lineRule="auto"/>
        <w:ind w:left="8" w:hanging="8"/>
        <w:jc w:val="both"/>
        <w:rPr>
          <w:rFonts w:ascii="Arial" w:eastAsia="Times New Roman" w:hAnsi="Arial" w:cs="Arial"/>
          <w:lang w:val="en-US"/>
        </w:rPr>
      </w:pPr>
      <w:r w:rsidRPr="004829E3">
        <w:rPr>
          <w:rFonts w:ascii="Arial" w:eastAsia="Times New Roman" w:hAnsi="Arial" w:cs="Arial"/>
          <w:lang w:val="en-US"/>
        </w:rPr>
        <w:t xml:space="preserve">La </w:t>
      </w:r>
      <w:r w:rsidR="00090740" w:rsidRPr="004829E3">
        <w:rPr>
          <w:rFonts w:ascii="Arial" w:eastAsia="Times New Roman" w:hAnsi="Arial" w:cs="Arial"/>
          <w:lang w:val="en-US"/>
        </w:rPr>
        <w:t xml:space="preserve">Fondazione </w:t>
      </w:r>
      <w:proofErr w:type="spellStart"/>
      <w:r w:rsidRPr="004829E3">
        <w:rPr>
          <w:rFonts w:ascii="Arial" w:eastAsia="Times New Roman" w:hAnsi="Arial" w:cs="Arial"/>
          <w:lang w:val="en-US"/>
        </w:rPr>
        <w:t>deve</w:t>
      </w:r>
      <w:proofErr w:type="spellEnd"/>
      <w:r w:rsidRPr="004829E3">
        <w:rPr>
          <w:rFonts w:ascii="Arial" w:eastAsia="Times New Roman" w:hAnsi="Arial" w:cs="Arial"/>
          <w:lang w:val="en-US"/>
        </w:rPr>
        <w:t xml:space="preserve"> </w:t>
      </w:r>
      <w:proofErr w:type="spellStart"/>
      <w:r w:rsidRPr="004829E3">
        <w:rPr>
          <w:rFonts w:ascii="Arial" w:eastAsia="Times New Roman" w:hAnsi="Arial" w:cs="Arial"/>
          <w:lang w:val="en-US"/>
        </w:rPr>
        <w:t>essere</w:t>
      </w:r>
      <w:proofErr w:type="spellEnd"/>
      <w:r w:rsidRPr="004829E3">
        <w:rPr>
          <w:rFonts w:ascii="Arial" w:eastAsia="Times New Roman" w:hAnsi="Arial" w:cs="Arial"/>
          <w:lang w:val="en-US"/>
        </w:rPr>
        <w:t xml:space="preserve"> sempre e </w:t>
      </w:r>
      <w:proofErr w:type="spellStart"/>
      <w:r w:rsidRPr="004829E3">
        <w:rPr>
          <w:rFonts w:ascii="Arial" w:eastAsia="Times New Roman" w:hAnsi="Arial" w:cs="Arial"/>
          <w:lang w:val="en-US"/>
        </w:rPr>
        <w:t>comunque</w:t>
      </w:r>
      <w:proofErr w:type="spellEnd"/>
      <w:r w:rsidRPr="004829E3">
        <w:rPr>
          <w:rFonts w:ascii="Arial" w:eastAsia="Times New Roman" w:hAnsi="Arial" w:cs="Arial"/>
          <w:lang w:val="en-US"/>
        </w:rPr>
        <w:t xml:space="preserve"> in </w:t>
      </w:r>
      <w:proofErr w:type="spellStart"/>
      <w:r w:rsidRPr="004829E3">
        <w:rPr>
          <w:rFonts w:ascii="Arial" w:eastAsia="Times New Roman" w:hAnsi="Arial" w:cs="Arial"/>
          <w:lang w:val="en-US"/>
        </w:rPr>
        <w:t>grado</w:t>
      </w:r>
      <w:proofErr w:type="spellEnd"/>
      <w:r w:rsidRPr="004829E3">
        <w:rPr>
          <w:rFonts w:ascii="Arial" w:eastAsia="Times New Roman" w:hAnsi="Arial" w:cs="Arial"/>
          <w:lang w:val="en-US"/>
        </w:rPr>
        <w:t xml:space="preserve"> di </w:t>
      </w:r>
      <w:proofErr w:type="spellStart"/>
      <w:r w:rsidRPr="004829E3">
        <w:rPr>
          <w:rFonts w:ascii="Arial" w:eastAsia="Times New Roman" w:hAnsi="Arial" w:cs="Arial"/>
          <w:lang w:val="en-US"/>
        </w:rPr>
        <w:t>ricostruire</w:t>
      </w:r>
      <w:proofErr w:type="spellEnd"/>
      <w:r w:rsidRPr="004829E3">
        <w:rPr>
          <w:rFonts w:ascii="Arial" w:eastAsia="Times New Roman" w:hAnsi="Arial" w:cs="Arial"/>
          <w:lang w:val="en-US"/>
        </w:rPr>
        <w:t xml:space="preserve"> la </w:t>
      </w:r>
      <w:proofErr w:type="spellStart"/>
      <w:r w:rsidRPr="004829E3">
        <w:rPr>
          <w:rFonts w:ascii="Arial" w:eastAsia="Times New Roman" w:hAnsi="Arial" w:cs="Arial"/>
          <w:lang w:val="en-US"/>
        </w:rPr>
        <w:t>causale</w:t>
      </w:r>
      <w:proofErr w:type="spellEnd"/>
      <w:r w:rsidRPr="004829E3">
        <w:rPr>
          <w:rFonts w:ascii="Arial" w:eastAsia="Times New Roman" w:hAnsi="Arial" w:cs="Arial"/>
          <w:lang w:val="en-US"/>
        </w:rPr>
        <w:t xml:space="preserve"> e </w:t>
      </w:r>
      <w:proofErr w:type="spellStart"/>
      <w:r w:rsidRPr="004829E3">
        <w:rPr>
          <w:rFonts w:ascii="Arial" w:eastAsia="Times New Roman" w:hAnsi="Arial" w:cs="Arial"/>
          <w:lang w:val="en-US"/>
        </w:rPr>
        <w:t>l’iter</w:t>
      </w:r>
      <w:proofErr w:type="spellEnd"/>
      <w:r w:rsidRPr="004829E3">
        <w:rPr>
          <w:rFonts w:ascii="Arial" w:eastAsia="Times New Roman" w:hAnsi="Arial" w:cs="Arial"/>
          <w:lang w:val="en-US"/>
        </w:rPr>
        <w:t xml:space="preserve"> </w:t>
      </w:r>
      <w:proofErr w:type="spellStart"/>
      <w:r w:rsidRPr="004829E3">
        <w:rPr>
          <w:rFonts w:ascii="Arial" w:eastAsia="Times New Roman" w:hAnsi="Arial" w:cs="Arial"/>
          <w:lang w:val="en-US"/>
        </w:rPr>
        <w:t>seguito</w:t>
      </w:r>
      <w:proofErr w:type="spellEnd"/>
      <w:r w:rsidRPr="004829E3">
        <w:rPr>
          <w:rFonts w:ascii="Arial" w:eastAsia="Times New Roman" w:hAnsi="Arial" w:cs="Arial"/>
          <w:lang w:val="en-US"/>
        </w:rPr>
        <w:t xml:space="preserve"> da </w:t>
      </w:r>
      <w:proofErr w:type="spellStart"/>
      <w:r w:rsidRPr="004829E3">
        <w:rPr>
          <w:rFonts w:ascii="Arial" w:eastAsia="Times New Roman" w:hAnsi="Arial" w:cs="Arial"/>
          <w:lang w:val="en-US"/>
        </w:rPr>
        <w:t>ogni</w:t>
      </w:r>
      <w:proofErr w:type="spellEnd"/>
      <w:r w:rsidRPr="004829E3">
        <w:rPr>
          <w:rFonts w:ascii="Arial" w:eastAsia="Times New Roman" w:hAnsi="Arial" w:cs="Arial"/>
          <w:lang w:val="en-US"/>
        </w:rPr>
        <w:t xml:space="preserve"> </w:t>
      </w:r>
      <w:proofErr w:type="spellStart"/>
      <w:r w:rsidRPr="004829E3">
        <w:rPr>
          <w:rFonts w:ascii="Arial" w:eastAsia="Times New Roman" w:hAnsi="Arial" w:cs="Arial"/>
          <w:lang w:val="en-US"/>
        </w:rPr>
        <w:t>flusso</w:t>
      </w:r>
      <w:proofErr w:type="spellEnd"/>
      <w:r w:rsidRPr="004829E3">
        <w:rPr>
          <w:rFonts w:ascii="Arial" w:eastAsia="Times New Roman" w:hAnsi="Arial" w:cs="Arial"/>
          <w:lang w:val="en-US"/>
        </w:rPr>
        <w:t xml:space="preserve"> </w:t>
      </w:r>
      <w:proofErr w:type="spellStart"/>
      <w:r w:rsidRPr="004829E3">
        <w:rPr>
          <w:rFonts w:ascii="Arial" w:eastAsia="Times New Roman" w:hAnsi="Arial" w:cs="Arial"/>
          <w:lang w:val="en-US"/>
        </w:rPr>
        <w:t>finanziario</w:t>
      </w:r>
      <w:proofErr w:type="spellEnd"/>
      <w:r w:rsidRPr="004829E3">
        <w:rPr>
          <w:rFonts w:ascii="Arial" w:eastAsia="Times New Roman" w:hAnsi="Arial" w:cs="Arial"/>
          <w:lang w:val="en-US"/>
        </w:rPr>
        <w:t xml:space="preserve"> in </w:t>
      </w:r>
      <w:proofErr w:type="spellStart"/>
      <w:r w:rsidRPr="004829E3">
        <w:rPr>
          <w:rFonts w:ascii="Arial" w:eastAsia="Times New Roman" w:hAnsi="Arial" w:cs="Arial"/>
          <w:lang w:val="en-US"/>
        </w:rPr>
        <w:t>entrata</w:t>
      </w:r>
      <w:proofErr w:type="spellEnd"/>
      <w:r w:rsidRPr="004829E3">
        <w:rPr>
          <w:rFonts w:ascii="Arial" w:eastAsia="Times New Roman" w:hAnsi="Arial" w:cs="Arial"/>
          <w:lang w:val="en-US"/>
        </w:rPr>
        <w:t xml:space="preserve"> ed in </w:t>
      </w:r>
      <w:proofErr w:type="spellStart"/>
      <w:r w:rsidRPr="004829E3">
        <w:rPr>
          <w:rFonts w:ascii="Arial" w:eastAsia="Times New Roman" w:hAnsi="Arial" w:cs="Arial"/>
          <w:lang w:val="en-US"/>
        </w:rPr>
        <w:t>uscita</w:t>
      </w:r>
      <w:proofErr w:type="spellEnd"/>
      <w:r w:rsidRPr="004829E3">
        <w:rPr>
          <w:rFonts w:ascii="Arial" w:eastAsia="Times New Roman" w:hAnsi="Arial" w:cs="Arial"/>
          <w:lang w:val="en-US"/>
        </w:rPr>
        <w:t xml:space="preserve">. A </w:t>
      </w:r>
      <w:proofErr w:type="spellStart"/>
      <w:r w:rsidRPr="004829E3">
        <w:rPr>
          <w:rFonts w:ascii="Arial" w:eastAsia="Times New Roman" w:hAnsi="Arial" w:cs="Arial"/>
          <w:lang w:val="en-US"/>
        </w:rPr>
        <w:t>livello</w:t>
      </w:r>
      <w:proofErr w:type="spellEnd"/>
      <w:r w:rsidRPr="004829E3">
        <w:rPr>
          <w:rFonts w:ascii="Arial" w:eastAsia="Times New Roman" w:hAnsi="Arial" w:cs="Arial"/>
          <w:lang w:val="en-US"/>
        </w:rPr>
        <w:t xml:space="preserve"> </w:t>
      </w:r>
      <w:proofErr w:type="spellStart"/>
      <w:r w:rsidRPr="004829E3">
        <w:rPr>
          <w:rFonts w:ascii="Arial" w:eastAsia="Times New Roman" w:hAnsi="Arial" w:cs="Arial"/>
          <w:lang w:val="en-US"/>
        </w:rPr>
        <w:t>esemplificativo</w:t>
      </w:r>
      <w:proofErr w:type="spellEnd"/>
      <w:r w:rsidRPr="004829E3">
        <w:rPr>
          <w:rFonts w:ascii="Arial" w:eastAsia="Times New Roman" w:hAnsi="Arial" w:cs="Arial"/>
          <w:lang w:val="en-US"/>
        </w:rPr>
        <w:t xml:space="preserve"> – e non </w:t>
      </w:r>
      <w:proofErr w:type="spellStart"/>
      <w:r w:rsidRPr="004829E3">
        <w:rPr>
          <w:rFonts w:ascii="Arial" w:eastAsia="Times New Roman" w:hAnsi="Arial" w:cs="Arial"/>
          <w:lang w:val="en-US"/>
        </w:rPr>
        <w:t>esaustivo</w:t>
      </w:r>
      <w:proofErr w:type="spellEnd"/>
      <w:r w:rsidRPr="004829E3">
        <w:rPr>
          <w:rFonts w:ascii="Arial" w:eastAsia="Times New Roman" w:hAnsi="Arial" w:cs="Arial"/>
          <w:lang w:val="en-US"/>
        </w:rPr>
        <w:t xml:space="preserve"> – </w:t>
      </w:r>
      <w:proofErr w:type="spellStart"/>
      <w:r w:rsidRPr="004829E3">
        <w:rPr>
          <w:rFonts w:ascii="Arial" w:eastAsia="Times New Roman" w:hAnsi="Arial" w:cs="Arial"/>
          <w:lang w:val="en-US"/>
        </w:rPr>
        <w:t>l’ODV</w:t>
      </w:r>
      <w:proofErr w:type="spellEnd"/>
      <w:r w:rsidRPr="004829E3">
        <w:rPr>
          <w:rFonts w:ascii="Arial" w:eastAsia="Times New Roman" w:hAnsi="Arial" w:cs="Arial"/>
          <w:lang w:val="en-US"/>
        </w:rPr>
        <w:t xml:space="preserve"> ha </w:t>
      </w:r>
      <w:proofErr w:type="spellStart"/>
      <w:r w:rsidRPr="004829E3">
        <w:rPr>
          <w:rFonts w:ascii="Arial" w:eastAsia="Times New Roman" w:hAnsi="Arial" w:cs="Arial"/>
          <w:lang w:val="en-US"/>
        </w:rPr>
        <w:t>facoltà</w:t>
      </w:r>
      <w:proofErr w:type="spellEnd"/>
      <w:r w:rsidRPr="004829E3">
        <w:rPr>
          <w:rFonts w:ascii="Arial" w:eastAsia="Times New Roman" w:hAnsi="Arial" w:cs="Arial"/>
          <w:lang w:val="en-US"/>
        </w:rPr>
        <w:t xml:space="preserve"> di: </w:t>
      </w:r>
    </w:p>
    <w:p w14:paraId="07FFB7BA" w14:textId="77777777" w:rsidR="00B21149" w:rsidRPr="004829E3" w:rsidRDefault="00B21149" w:rsidP="00B21149">
      <w:pPr>
        <w:numPr>
          <w:ilvl w:val="0"/>
          <w:numId w:val="24"/>
        </w:numPr>
        <w:spacing w:after="0" w:line="248" w:lineRule="auto"/>
        <w:ind w:right="1"/>
        <w:jc w:val="both"/>
        <w:rPr>
          <w:rFonts w:ascii="Arial" w:eastAsia="Times New Roman" w:hAnsi="Arial" w:cs="Arial"/>
          <w:lang w:val="en-US"/>
        </w:rPr>
      </w:pPr>
      <w:proofErr w:type="spellStart"/>
      <w:r w:rsidRPr="004829E3">
        <w:rPr>
          <w:rFonts w:ascii="Arial" w:eastAsia="Times New Roman" w:hAnsi="Arial" w:cs="Arial"/>
          <w:lang w:val="en-US"/>
        </w:rPr>
        <w:t>visionare</w:t>
      </w:r>
      <w:proofErr w:type="spellEnd"/>
      <w:r w:rsidRPr="004829E3">
        <w:rPr>
          <w:rFonts w:ascii="Arial" w:eastAsia="Times New Roman" w:hAnsi="Arial" w:cs="Arial"/>
          <w:lang w:val="en-US"/>
        </w:rPr>
        <w:t xml:space="preserve"> </w:t>
      </w:r>
      <w:proofErr w:type="spellStart"/>
      <w:r w:rsidRPr="004829E3">
        <w:rPr>
          <w:rFonts w:ascii="Arial" w:eastAsia="Times New Roman" w:hAnsi="Arial" w:cs="Arial"/>
          <w:lang w:val="en-US"/>
        </w:rPr>
        <w:t>i</w:t>
      </w:r>
      <w:proofErr w:type="spellEnd"/>
      <w:r w:rsidRPr="004829E3">
        <w:rPr>
          <w:rFonts w:ascii="Arial" w:eastAsia="Times New Roman" w:hAnsi="Arial" w:cs="Arial"/>
          <w:lang w:val="en-US"/>
        </w:rPr>
        <w:t xml:space="preserve"> </w:t>
      </w:r>
      <w:proofErr w:type="spellStart"/>
      <w:r w:rsidRPr="004829E3">
        <w:rPr>
          <w:rFonts w:ascii="Arial" w:eastAsia="Times New Roman" w:hAnsi="Arial" w:cs="Arial"/>
          <w:lang w:val="en-US"/>
        </w:rPr>
        <w:t>documenti</w:t>
      </w:r>
      <w:proofErr w:type="spellEnd"/>
      <w:r w:rsidRPr="004829E3">
        <w:rPr>
          <w:rFonts w:ascii="Arial" w:eastAsia="Times New Roman" w:hAnsi="Arial" w:cs="Arial"/>
          <w:lang w:val="en-US"/>
        </w:rPr>
        <w:t xml:space="preserve"> </w:t>
      </w:r>
      <w:proofErr w:type="spellStart"/>
      <w:r w:rsidRPr="004829E3">
        <w:rPr>
          <w:rFonts w:ascii="Arial" w:eastAsia="Times New Roman" w:hAnsi="Arial" w:cs="Arial"/>
          <w:lang w:val="en-US"/>
        </w:rPr>
        <w:t>sottostanti</w:t>
      </w:r>
      <w:proofErr w:type="spellEnd"/>
      <w:r w:rsidRPr="004829E3">
        <w:rPr>
          <w:rFonts w:ascii="Arial" w:eastAsia="Times New Roman" w:hAnsi="Arial" w:cs="Arial"/>
          <w:lang w:val="en-US"/>
        </w:rPr>
        <w:t xml:space="preserve"> </w:t>
      </w:r>
      <w:proofErr w:type="spellStart"/>
      <w:r w:rsidRPr="004829E3">
        <w:rPr>
          <w:rFonts w:ascii="Arial" w:eastAsia="Times New Roman" w:hAnsi="Arial" w:cs="Arial"/>
          <w:lang w:val="en-US"/>
        </w:rPr>
        <w:t>i</w:t>
      </w:r>
      <w:proofErr w:type="spellEnd"/>
      <w:r w:rsidRPr="004829E3">
        <w:rPr>
          <w:rFonts w:ascii="Arial" w:eastAsia="Times New Roman" w:hAnsi="Arial" w:cs="Arial"/>
          <w:lang w:val="en-US"/>
        </w:rPr>
        <w:t xml:space="preserve"> </w:t>
      </w:r>
      <w:proofErr w:type="spellStart"/>
      <w:r w:rsidRPr="004829E3">
        <w:rPr>
          <w:rFonts w:ascii="Arial" w:eastAsia="Times New Roman" w:hAnsi="Arial" w:cs="Arial"/>
          <w:lang w:val="en-US"/>
        </w:rPr>
        <w:t>flussi</w:t>
      </w:r>
      <w:proofErr w:type="spellEnd"/>
      <w:r w:rsidRPr="004829E3">
        <w:rPr>
          <w:rFonts w:ascii="Arial" w:eastAsia="Times New Roman" w:hAnsi="Arial" w:cs="Arial"/>
          <w:lang w:val="en-US"/>
        </w:rPr>
        <w:t xml:space="preserve"> da e verso le PP.AA.; </w:t>
      </w:r>
    </w:p>
    <w:p w14:paraId="78381C0E" w14:textId="77777777" w:rsidR="00B21149" w:rsidRPr="004829E3" w:rsidRDefault="00B21149" w:rsidP="00B21149">
      <w:pPr>
        <w:numPr>
          <w:ilvl w:val="0"/>
          <w:numId w:val="24"/>
        </w:numPr>
        <w:spacing w:after="0" w:line="248" w:lineRule="auto"/>
        <w:ind w:right="1"/>
        <w:jc w:val="both"/>
        <w:rPr>
          <w:rFonts w:ascii="Arial" w:eastAsia="Times New Roman" w:hAnsi="Arial" w:cs="Arial"/>
          <w:lang w:val="en-US"/>
        </w:rPr>
      </w:pPr>
      <w:proofErr w:type="spellStart"/>
      <w:r w:rsidRPr="004829E3">
        <w:rPr>
          <w:rFonts w:ascii="Arial" w:eastAsia="Times New Roman" w:hAnsi="Arial" w:cs="Arial"/>
          <w:lang w:val="en-US"/>
        </w:rPr>
        <w:t>visionare</w:t>
      </w:r>
      <w:proofErr w:type="spellEnd"/>
      <w:r w:rsidRPr="004829E3">
        <w:rPr>
          <w:rFonts w:ascii="Arial" w:eastAsia="Times New Roman" w:hAnsi="Arial" w:cs="Arial"/>
          <w:lang w:val="en-US"/>
        </w:rPr>
        <w:t xml:space="preserve"> </w:t>
      </w:r>
      <w:proofErr w:type="spellStart"/>
      <w:r w:rsidRPr="004829E3">
        <w:rPr>
          <w:rFonts w:ascii="Arial" w:eastAsia="Times New Roman" w:hAnsi="Arial" w:cs="Arial"/>
          <w:lang w:val="en-US"/>
        </w:rPr>
        <w:t>i</w:t>
      </w:r>
      <w:proofErr w:type="spellEnd"/>
      <w:r w:rsidRPr="004829E3">
        <w:rPr>
          <w:rFonts w:ascii="Arial" w:eastAsia="Times New Roman" w:hAnsi="Arial" w:cs="Arial"/>
          <w:lang w:val="en-US"/>
        </w:rPr>
        <w:t xml:space="preserve"> </w:t>
      </w:r>
      <w:proofErr w:type="spellStart"/>
      <w:r w:rsidRPr="004829E3">
        <w:rPr>
          <w:rFonts w:ascii="Arial" w:eastAsia="Times New Roman" w:hAnsi="Arial" w:cs="Arial"/>
          <w:lang w:val="en-US"/>
        </w:rPr>
        <w:t>documenti</w:t>
      </w:r>
      <w:proofErr w:type="spellEnd"/>
      <w:r w:rsidRPr="004829E3">
        <w:rPr>
          <w:rFonts w:ascii="Arial" w:eastAsia="Times New Roman" w:hAnsi="Arial" w:cs="Arial"/>
          <w:lang w:val="en-US"/>
        </w:rPr>
        <w:t xml:space="preserve"> </w:t>
      </w:r>
      <w:proofErr w:type="spellStart"/>
      <w:r w:rsidRPr="004829E3">
        <w:rPr>
          <w:rFonts w:ascii="Arial" w:eastAsia="Times New Roman" w:hAnsi="Arial" w:cs="Arial"/>
          <w:lang w:val="en-US"/>
        </w:rPr>
        <w:t>sottostanti</w:t>
      </w:r>
      <w:proofErr w:type="spellEnd"/>
      <w:r w:rsidRPr="004829E3">
        <w:rPr>
          <w:rFonts w:ascii="Arial" w:eastAsia="Times New Roman" w:hAnsi="Arial" w:cs="Arial"/>
          <w:lang w:val="en-US"/>
        </w:rPr>
        <w:t xml:space="preserve"> </w:t>
      </w:r>
      <w:proofErr w:type="spellStart"/>
      <w:r w:rsidRPr="004829E3">
        <w:rPr>
          <w:rFonts w:ascii="Arial" w:eastAsia="Times New Roman" w:hAnsi="Arial" w:cs="Arial"/>
          <w:lang w:val="en-US"/>
        </w:rPr>
        <w:t>i</w:t>
      </w:r>
      <w:proofErr w:type="spellEnd"/>
      <w:r w:rsidRPr="004829E3">
        <w:rPr>
          <w:rFonts w:ascii="Arial" w:eastAsia="Times New Roman" w:hAnsi="Arial" w:cs="Arial"/>
          <w:lang w:val="en-US"/>
        </w:rPr>
        <w:t xml:space="preserve"> </w:t>
      </w:r>
      <w:proofErr w:type="spellStart"/>
      <w:r w:rsidRPr="004829E3">
        <w:rPr>
          <w:rFonts w:ascii="Arial" w:eastAsia="Times New Roman" w:hAnsi="Arial" w:cs="Arial"/>
          <w:lang w:val="en-US"/>
        </w:rPr>
        <w:t>flussi</w:t>
      </w:r>
      <w:proofErr w:type="spellEnd"/>
      <w:r w:rsidRPr="004829E3">
        <w:rPr>
          <w:rFonts w:ascii="Arial" w:eastAsia="Times New Roman" w:hAnsi="Arial" w:cs="Arial"/>
          <w:lang w:val="en-US"/>
        </w:rPr>
        <w:t xml:space="preserve"> </w:t>
      </w:r>
      <w:proofErr w:type="spellStart"/>
      <w:r w:rsidRPr="004829E3">
        <w:rPr>
          <w:rFonts w:ascii="Arial" w:eastAsia="Times New Roman" w:hAnsi="Arial" w:cs="Arial"/>
          <w:lang w:val="en-US"/>
        </w:rPr>
        <w:t>finanziari</w:t>
      </w:r>
      <w:proofErr w:type="spellEnd"/>
      <w:r w:rsidRPr="004829E3">
        <w:rPr>
          <w:rFonts w:ascii="Arial" w:eastAsia="Times New Roman" w:hAnsi="Arial" w:cs="Arial"/>
          <w:lang w:val="en-US"/>
        </w:rPr>
        <w:t xml:space="preserve"> verso </w:t>
      </w:r>
      <w:proofErr w:type="spellStart"/>
      <w:r w:rsidRPr="004829E3">
        <w:rPr>
          <w:rFonts w:ascii="Arial" w:eastAsia="Times New Roman" w:hAnsi="Arial" w:cs="Arial"/>
          <w:lang w:val="en-US"/>
        </w:rPr>
        <w:t>i</w:t>
      </w:r>
      <w:proofErr w:type="spellEnd"/>
      <w:r w:rsidRPr="004829E3">
        <w:rPr>
          <w:rFonts w:ascii="Arial" w:eastAsia="Times New Roman" w:hAnsi="Arial" w:cs="Arial"/>
          <w:lang w:val="en-US"/>
        </w:rPr>
        <w:t xml:space="preserve"> </w:t>
      </w:r>
      <w:proofErr w:type="spellStart"/>
      <w:r w:rsidRPr="004829E3">
        <w:rPr>
          <w:rFonts w:ascii="Arial" w:eastAsia="Times New Roman" w:hAnsi="Arial" w:cs="Arial"/>
          <w:lang w:val="en-US"/>
        </w:rPr>
        <w:t>consulenti</w:t>
      </w:r>
      <w:proofErr w:type="spellEnd"/>
      <w:r w:rsidRPr="004829E3">
        <w:rPr>
          <w:rFonts w:ascii="Arial" w:eastAsia="Times New Roman" w:hAnsi="Arial" w:cs="Arial"/>
          <w:lang w:val="en-US"/>
        </w:rPr>
        <w:t xml:space="preserve">; </w:t>
      </w:r>
    </w:p>
    <w:p w14:paraId="1B993BDA" w14:textId="77777777" w:rsidR="00B21149" w:rsidRPr="004829E3" w:rsidRDefault="00B21149" w:rsidP="00B21149">
      <w:pPr>
        <w:numPr>
          <w:ilvl w:val="0"/>
          <w:numId w:val="24"/>
        </w:numPr>
        <w:spacing w:after="0" w:line="240" w:lineRule="auto"/>
        <w:ind w:left="357"/>
        <w:jc w:val="both"/>
        <w:rPr>
          <w:rFonts w:ascii="Times New Roman" w:eastAsia="Times New Roman" w:hAnsi="Times New Roman" w:cs="Times New Roman"/>
          <w:sz w:val="24"/>
          <w:lang w:val="en-US"/>
        </w:rPr>
      </w:pPr>
      <w:proofErr w:type="spellStart"/>
      <w:r w:rsidRPr="004829E3">
        <w:rPr>
          <w:rFonts w:ascii="Arial" w:eastAsia="Times New Roman" w:hAnsi="Arial" w:cs="Arial"/>
          <w:lang w:val="en-US"/>
        </w:rPr>
        <w:t>acquisire</w:t>
      </w:r>
      <w:proofErr w:type="spellEnd"/>
      <w:r w:rsidRPr="004829E3">
        <w:rPr>
          <w:rFonts w:ascii="Arial" w:eastAsia="Times New Roman" w:hAnsi="Arial" w:cs="Arial"/>
          <w:lang w:val="en-US"/>
        </w:rPr>
        <w:t xml:space="preserve"> </w:t>
      </w:r>
      <w:proofErr w:type="spellStart"/>
      <w:r w:rsidRPr="004829E3">
        <w:rPr>
          <w:rFonts w:ascii="Arial" w:eastAsia="Times New Roman" w:hAnsi="Arial" w:cs="Arial"/>
          <w:lang w:val="en-US"/>
        </w:rPr>
        <w:t>elementi</w:t>
      </w:r>
      <w:proofErr w:type="spellEnd"/>
      <w:r w:rsidRPr="004829E3">
        <w:rPr>
          <w:rFonts w:ascii="Arial" w:eastAsia="Times New Roman" w:hAnsi="Arial" w:cs="Arial"/>
          <w:lang w:val="en-US"/>
        </w:rPr>
        <w:t xml:space="preserve"> in </w:t>
      </w:r>
      <w:proofErr w:type="spellStart"/>
      <w:r w:rsidRPr="004829E3">
        <w:rPr>
          <w:rFonts w:ascii="Arial" w:eastAsia="Times New Roman" w:hAnsi="Arial" w:cs="Arial"/>
          <w:lang w:val="en-US"/>
        </w:rPr>
        <w:t>ordine</w:t>
      </w:r>
      <w:proofErr w:type="spellEnd"/>
      <w:r w:rsidRPr="004829E3">
        <w:rPr>
          <w:rFonts w:ascii="Arial" w:eastAsia="Times New Roman" w:hAnsi="Arial" w:cs="Arial"/>
          <w:lang w:val="en-US"/>
        </w:rPr>
        <w:t xml:space="preserve"> ai </w:t>
      </w:r>
      <w:proofErr w:type="spellStart"/>
      <w:r w:rsidRPr="004829E3">
        <w:rPr>
          <w:rFonts w:ascii="Arial" w:eastAsia="Times New Roman" w:hAnsi="Arial" w:cs="Arial"/>
          <w:lang w:val="en-US"/>
        </w:rPr>
        <w:t>rapporti</w:t>
      </w:r>
      <w:proofErr w:type="spellEnd"/>
      <w:r w:rsidRPr="004829E3">
        <w:rPr>
          <w:rFonts w:ascii="Arial" w:eastAsia="Times New Roman" w:hAnsi="Arial" w:cs="Arial"/>
          <w:lang w:val="en-US"/>
        </w:rPr>
        <w:t xml:space="preserve"> </w:t>
      </w:r>
      <w:proofErr w:type="spellStart"/>
      <w:r w:rsidRPr="004829E3">
        <w:rPr>
          <w:rFonts w:ascii="Arial" w:eastAsia="Times New Roman" w:hAnsi="Arial" w:cs="Arial"/>
          <w:lang w:val="en-US"/>
        </w:rPr>
        <w:t>sottostanti</w:t>
      </w:r>
      <w:proofErr w:type="spellEnd"/>
      <w:r w:rsidRPr="004829E3">
        <w:rPr>
          <w:rFonts w:ascii="Arial" w:eastAsia="Times New Roman" w:hAnsi="Arial" w:cs="Arial"/>
          <w:lang w:val="en-US"/>
        </w:rPr>
        <w:t xml:space="preserve"> la </w:t>
      </w:r>
      <w:proofErr w:type="spellStart"/>
      <w:r w:rsidRPr="004829E3">
        <w:rPr>
          <w:rFonts w:ascii="Arial" w:eastAsia="Times New Roman" w:hAnsi="Arial" w:cs="Arial"/>
          <w:lang w:val="en-US"/>
        </w:rPr>
        <w:t>fatturazione</w:t>
      </w:r>
      <w:proofErr w:type="spellEnd"/>
      <w:r w:rsidRPr="004829E3">
        <w:rPr>
          <w:rFonts w:ascii="Arial" w:eastAsia="Times New Roman" w:hAnsi="Arial" w:cs="Arial"/>
          <w:lang w:val="en-US"/>
        </w:rPr>
        <w:t xml:space="preserve"> </w:t>
      </w:r>
      <w:r w:rsidRPr="004829E3">
        <w:rPr>
          <w:rFonts w:ascii="Arial" w:eastAsia="Courier New" w:hAnsi="Arial" w:cs="Arial"/>
          <w:lang w:val="en-US"/>
        </w:rPr>
        <w:t>-</w:t>
      </w:r>
      <w:r w:rsidRPr="004829E3">
        <w:rPr>
          <w:rFonts w:ascii="Arial" w:eastAsia="Arial" w:hAnsi="Arial" w:cs="Arial"/>
          <w:lang w:val="en-US"/>
        </w:rPr>
        <w:t xml:space="preserve"> </w:t>
      </w:r>
      <w:proofErr w:type="spellStart"/>
      <w:r w:rsidRPr="004829E3">
        <w:rPr>
          <w:rFonts w:ascii="Arial" w:eastAsia="Times New Roman" w:hAnsi="Arial" w:cs="Arial"/>
          <w:lang w:val="en-US"/>
        </w:rPr>
        <w:t>visionare</w:t>
      </w:r>
      <w:proofErr w:type="spellEnd"/>
      <w:r w:rsidRPr="004829E3">
        <w:rPr>
          <w:rFonts w:ascii="Arial" w:eastAsia="Times New Roman" w:hAnsi="Arial" w:cs="Arial"/>
          <w:lang w:val="en-US"/>
        </w:rPr>
        <w:t xml:space="preserve"> </w:t>
      </w:r>
      <w:proofErr w:type="spellStart"/>
      <w:r w:rsidRPr="004829E3">
        <w:rPr>
          <w:rFonts w:ascii="Arial" w:eastAsia="Times New Roman" w:hAnsi="Arial" w:cs="Arial"/>
          <w:lang w:val="en-US"/>
        </w:rPr>
        <w:t>i</w:t>
      </w:r>
      <w:proofErr w:type="spellEnd"/>
      <w:r w:rsidRPr="004829E3">
        <w:rPr>
          <w:rFonts w:ascii="Arial" w:eastAsia="Times New Roman" w:hAnsi="Arial" w:cs="Arial"/>
          <w:lang w:val="en-US"/>
        </w:rPr>
        <w:t xml:space="preserve"> </w:t>
      </w:r>
      <w:proofErr w:type="spellStart"/>
      <w:r w:rsidRPr="004829E3">
        <w:rPr>
          <w:rFonts w:ascii="Arial" w:eastAsia="Times New Roman" w:hAnsi="Arial" w:cs="Arial"/>
          <w:lang w:val="en-US"/>
        </w:rPr>
        <w:t>contratti</w:t>
      </w:r>
      <w:proofErr w:type="spellEnd"/>
      <w:r w:rsidRPr="004829E3">
        <w:rPr>
          <w:rFonts w:ascii="Arial" w:eastAsia="Times New Roman" w:hAnsi="Arial" w:cs="Arial"/>
          <w:lang w:val="en-US"/>
        </w:rPr>
        <w:t xml:space="preserve"> </w:t>
      </w:r>
      <w:proofErr w:type="spellStart"/>
      <w:r w:rsidRPr="004829E3">
        <w:rPr>
          <w:rFonts w:ascii="Arial" w:eastAsia="Times New Roman" w:hAnsi="Arial" w:cs="Arial"/>
          <w:lang w:val="en-US"/>
        </w:rPr>
        <w:t>originanti</w:t>
      </w:r>
      <w:proofErr w:type="spellEnd"/>
      <w:r w:rsidRPr="004829E3">
        <w:rPr>
          <w:rFonts w:ascii="Arial" w:eastAsia="Times New Roman" w:hAnsi="Arial" w:cs="Arial"/>
          <w:lang w:val="en-US"/>
        </w:rPr>
        <w:t xml:space="preserve"> le </w:t>
      </w:r>
      <w:proofErr w:type="spellStart"/>
      <w:r w:rsidRPr="004829E3">
        <w:rPr>
          <w:rFonts w:ascii="Arial" w:eastAsia="Times New Roman" w:hAnsi="Arial" w:cs="Arial"/>
          <w:lang w:val="en-US"/>
        </w:rPr>
        <w:t>obbligazioni</w:t>
      </w:r>
      <w:proofErr w:type="spellEnd"/>
      <w:r w:rsidRPr="004829E3">
        <w:rPr>
          <w:rFonts w:ascii="Arial" w:eastAsia="Times New Roman" w:hAnsi="Arial" w:cs="Arial"/>
          <w:lang w:val="en-US"/>
        </w:rPr>
        <w:t xml:space="preserve"> di </w:t>
      </w:r>
      <w:proofErr w:type="spellStart"/>
      <w:r w:rsidRPr="004829E3">
        <w:rPr>
          <w:rFonts w:ascii="Arial" w:eastAsia="Times New Roman" w:hAnsi="Arial" w:cs="Arial"/>
          <w:lang w:val="en-US"/>
        </w:rPr>
        <w:t>pagamento</w:t>
      </w:r>
      <w:proofErr w:type="spellEnd"/>
      <w:r w:rsidRPr="004829E3">
        <w:rPr>
          <w:rFonts w:ascii="Arial" w:eastAsia="Times New Roman" w:hAnsi="Arial" w:cs="Arial"/>
          <w:lang w:val="en-US"/>
        </w:rPr>
        <w:t xml:space="preserve"> </w:t>
      </w:r>
      <w:proofErr w:type="spellStart"/>
      <w:r w:rsidRPr="004829E3">
        <w:rPr>
          <w:rFonts w:ascii="Arial" w:eastAsia="Times New Roman" w:hAnsi="Arial" w:cs="Arial"/>
          <w:lang w:val="en-US"/>
        </w:rPr>
        <w:t>adempiute</w:t>
      </w:r>
      <w:proofErr w:type="spellEnd"/>
      <w:r w:rsidRPr="004829E3">
        <w:rPr>
          <w:rFonts w:ascii="Arial" w:eastAsia="Times New Roman" w:hAnsi="Arial" w:cs="Arial"/>
          <w:lang w:val="en-US"/>
        </w:rPr>
        <w:t xml:space="preserve"> </w:t>
      </w:r>
      <w:r w:rsidRPr="004829E3">
        <w:rPr>
          <w:rFonts w:ascii="Arial" w:eastAsia="Courier New" w:hAnsi="Arial" w:cs="Arial"/>
          <w:lang w:val="en-US"/>
        </w:rPr>
        <w:t>-</w:t>
      </w:r>
      <w:r w:rsidRPr="004829E3">
        <w:rPr>
          <w:rFonts w:ascii="Arial" w:eastAsia="Arial" w:hAnsi="Arial" w:cs="Arial"/>
          <w:lang w:val="en-US"/>
        </w:rPr>
        <w:t xml:space="preserve"> </w:t>
      </w:r>
      <w:proofErr w:type="spellStart"/>
      <w:r w:rsidRPr="004829E3">
        <w:rPr>
          <w:rFonts w:ascii="Arial" w:eastAsia="Times New Roman" w:hAnsi="Arial" w:cs="Arial"/>
          <w:lang w:val="en-US"/>
        </w:rPr>
        <w:t>verificare</w:t>
      </w:r>
      <w:proofErr w:type="spellEnd"/>
      <w:r w:rsidRPr="004829E3">
        <w:rPr>
          <w:rFonts w:ascii="Arial" w:eastAsia="Times New Roman" w:hAnsi="Arial" w:cs="Arial"/>
          <w:lang w:val="en-US"/>
        </w:rPr>
        <w:t xml:space="preserve"> </w:t>
      </w:r>
      <w:proofErr w:type="spellStart"/>
      <w:r w:rsidRPr="004829E3">
        <w:rPr>
          <w:rFonts w:ascii="Arial" w:eastAsia="Times New Roman" w:hAnsi="Arial" w:cs="Arial"/>
          <w:lang w:val="en-US"/>
        </w:rPr>
        <w:t>comunque</w:t>
      </w:r>
      <w:proofErr w:type="spellEnd"/>
      <w:r w:rsidRPr="004829E3">
        <w:rPr>
          <w:rFonts w:ascii="Arial" w:eastAsia="Times New Roman" w:hAnsi="Arial" w:cs="Arial"/>
          <w:lang w:val="en-US"/>
        </w:rPr>
        <w:t xml:space="preserve"> </w:t>
      </w:r>
      <w:proofErr w:type="spellStart"/>
      <w:r w:rsidRPr="004829E3">
        <w:rPr>
          <w:rFonts w:ascii="Arial" w:eastAsia="Times New Roman" w:hAnsi="Arial" w:cs="Arial"/>
          <w:lang w:val="en-US"/>
        </w:rPr>
        <w:t>quanto</w:t>
      </w:r>
      <w:proofErr w:type="spellEnd"/>
      <w:r w:rsidRPr="004829E3">
        <w:rPr>
          <w:rFonts w:ascii="Arial" w:eastAsia="Times New Roman" w:hAnsi="Arial" w:cs="Arial"/>
          <w:lang w:val="en-US"/>
        </w:rPr>
        <w:t xml:space="preserve"> </w:t>
      </w:r>
      <w:proofErr w:type="spellStart"/>
      <w:r w:rsidRPr="004829E3">
        <w:rPr>
          <w:rFonts w:ascii="Arial" w:eastAsia="Times New Roman" w:hAnsi="Arial" w:cs="Arial"/>
          <w:lang w:val="en-US"/>
        </w:rPr>
        <w:t>previsto</w:t>
      </w:r>
      <w:proofErr w:type="spellEnd"/>
      <w:r w:rsidRPr="004829E3">
        <w:rPr>
          <w:rFonts w:ascii="Arial" w:eastAsia="Times New Roman" w:hAnsi="Arial" w:cs="Arial"/>
          <w:lang w:val="en-US"/>
        </w:rPr>
        <w:t xml:space="preserve"> dal </w:t>
      </w:r>
      <w:proofErr w:type="spellStart"/>
      <w:r w:rsidRPr="004829E3">
        <w:rPr>
          <w:rFonts w:ascii="Arial" w:eastAsia="Times New Roman" w:hAnsi="Arial" w:cs="Arial"/>
          <w:lang w:val="en-US"/>
        </w:rPr>
        <w:t>presente</w:t>
      </w:r>
      <w:proofErr w:type="spellEnd"/>
      <w:r w:rsidRPr="004829E3">
        <w:rPr>
          <w:rFonts w:ascii="Arial" w:eastAsia="Times New Roman" w:hAnsi="Arial" w:cs="Arial"/>
          <w:lang w:val="en-US"/>
        </w:rPr>
        <w:t xml:space="preserve"> </w:t>
      </w:r>
      <w:proofErr w:type="spellStart"/>
      <w:r w:rsidRPr="004829E3">
        <w:rPr>
          <w:rFonts w:ascii="Arial" w:eastAsia="Times New Roman" w:hAnsi="Arial" w:cs="Arial"/>
          <w:lang w:val="en-US"/>
        </w:rPr>
        <w:t>protocollo</w:t>
      </w:r>
      <w:proofErr w:type="spellEnd"/>
      <w:r w:rsidRPr="004829E3">
        <w:rPr>
          <w:rFonts w:ascii="Times New Roman" w:eastAsia="Times New Roman" w:hAnsi="Times New Roman" w:cs="Times New Roman"/>
          <w:sz w:val="24"/>
          <w:lang w:val="en-US"/>
        </w:rPr>
        <w:t xml:space="preserve">; </w:t>
      </w:r>
    </w:p>
    <w:p w14:paraId="6099C9EC" w14:textId="77777777" w:rsidR="00B21149" w:rsidRPr="004829E3" w:rsidRDefault="00B21149" w:rsidP="00B21149">
      <w:pPr>
        <w:spacing w:after="167"/>
        <w:rPr>
          <w:rFonts w:ascii="Times New Roman" w:eastAsia="Times New Roman" w:hAnsi="Times New Roman" w:cs="Times New Roman"/>
          <w:sz w:val="24"/>
          <w:lang w:val="en-US"/>
        </w:rPr>
      </w:pPr>
      <w:r w:rsidRPr="004829E3">
        <w:rPr>
          <w:rFonts w:ascii="Times New Roman" w:eastAsia="Times New Roman" w:hAnsi="Times New Roman" w:cs="Times New Roman"/>
          <w:sz w:val="24"/>
          <w:lang w:val="en-US"/>
        </w:rPr>
        <w:t xml:space="preserve"> </w:t>
      </w:r>
    </w:p>
    <w:p w14:paraId="06E457A0" w14:textId="77777777" w:rsidR="00B21149" w:rsidRPr="004829E3" w:rsidRDefault="00B21149" w:rsidP="00B21149">
      <w:pPr>
        <w:spacing w:after="0"/>
        <w:jc w:val="both"/>
        <w:rPr>
          <w:rFonts w:ascii="Arial" w:hAnsi="Arial" w:cs="Arial"/>
        </w:rPr>
      </w:pPr>
    </w:p>
    <w:p w14:paraId="01025664" w14:textId="77777777" w:rsidR="00B21149" w:rsidRPr="004829E3" w:rsidRDefault="00B21149" w:rsidP="00B21149">
      <w:pPr>
        <w:autoSpaceDE w:val="0"/>
        <w:autoSpaceDN w:val="0"/>
        <w:adjustRightInd w:val="0"/>
        <w:spacing w:after="0" w:line="240" w:lineRule="auto"/>
        <w:jc w:val="both"/>
        <w:rPr>
          <w:rFonts w:ascii="Arial" w:hAnsi="Arial" w:cs="Arial"/>
        </w:rPr>
      </w:pPr>
      <w:r w:rsidRPr="004829E3">
        <w:rPr>
          <w:rFonts w:ascii="Arial" w:hAnsi="Arial" w:cs="Arial"/>
        </w:rPr>
        <w:t>L’ODV ha inoltre la facoltà di prendere visione di tutti i documenti concernenti l’acquisto e la gestione dei valori bollati, nonché i flussi e la gestione della cassa contanti e assegni, al fine di verificare la corrispondenza, la trasparenza e la univocità degli stessi.</w:t>
      </w:r>
    </w:p>
    <w:p w14:paraId="51B8F5D2" w14:textId="77777777" w:rsidR="00B21149" w:rsidRPr="004829E3" w:rsidRDefault="00B21149" w:rsidP="00B21149">
      <w:pPr>
        <w:autoSpaceDE w:val="0"/>
        <w:autoSpaceDN w:val="0"/>
        <w:adjustRightInd w:val="0"/>
        <w:spacing w:after="0" w:line="240" w:lineRule="auto"/>
        <w:jc w:val="both"/>
        <w:rPr>
          <w:rFonts w:ascii="Arial" w:hAnsi="Arial" w:cs="Arial"/>
        </w:rPr>
      </w:pPr>
      <w:r w:rsidRPr="004829E3">
        <w:rPr>
          <w:rFonts w:ascii="Arial" w:hAnsi="Arial" w:cs="Arial"/>
        </w:rPr>
        <w:t>L’ente deve essere sempre e comunque in grado di ricostruire la causale e l’iter seguito da ogni flusso in entrata ed in uscita: l’ODV ha facoltà di verificare a campione l’adempimento di tale dovere.</w:t>
      </w:r>
    </w:p>
    <w:p w14:paraId="3FBB5BAC" w14:textId="77777777" w:rsidR="00B21149" w:rsidRPr="004829E3" w:rsidRDefault="00B21149" w:rsidP="00B21149">
      <w:pPr>
        <w:pStyle w:val="Default"/>
        <w:jc w:val="both"/>
        <w:rPr>
          <w:color w:val="auto"/>
          <w:sz w:val="22"/>
          <w:szCs w:val="22"/>
        </w:rPr>
      </w:pPr>
      <w:r w:rsidRPr="004829E3">
        <w:rPr>
          <w:color w:val="auto"/>
          <w:sz w:val="22"/>
          <w:szCs w:val="22"/>
        </w:rPr>
        <w:t>L’ODV ha facoltà di verificare comunque quanto previsto dal presente protocollo.</w:t>
      </w:r>
    </w:p>
    <w:p w14:paraId="11B8A762" w14:textId="77777777" w:rsidR="00B21149" w:rsidRPr="004829E3" w:rsidRDefault="00B21149" w:rsidP="00B21149">
      <w:pPr>
        <w:pStyle w:val="Default"/>
        <w:spacing w:after="113"/>
        <w:jc w:val="both"/>
        <w:rPr>
          <w:color w:val="auto"/>
          <w:sz w:val="22"/>
          <w:szCs w:val="22"/>
        </w:rPr>
      </w:pPr>
    </w:p>
    <w:p w14:paraId="21C1FD85" w14:textId="77777777" w:rsidR="00106F92" w:rsidRPr="004829E3" w:rsidRDefault="00106F92" w:rsidP="00106F92">
      <w:pPr>
        <w:pStyle w:val="Default"/>
        <w:jc w:val="both"/>
        <w:rPr>
          <w:color w:val="auto"/>
          <w:sz w:val="22"/>
          <w:szCs w:val="22"/>
        </w:rPr>
      </w:pPr>
    </w:p>
    <w:p w14:paraId="14A87D42" w14:textId="77777777" w:rsidR="00200D1C" w:rsidRPr="004829E3" w:rsidRDefault="00200D1C" w:rsidP="00200D1C">
      <w:pPr>
        <w:pStyle w:val="Default"/>
        <w:numPr>
          <w:ilvl w:val="0"/>
          <w:numId w:val="11"/>
        </w:numPr>
        <w:spacing w:after="113"/>
        <w:jc w:val="both"/>
        <w:rPr>
          <w:color w:val="auto"/>
          <w:sz w:val="22"/>
          <w:szCs w:val="22"/>
        </w:rPr>
      </w:pPr>
    </w:p>
    <w:p w14:paraId="1EDA03C0" w14:textId="77777777" w:rsidR="00200D1C" w:rsidRPr="004829E3" w:rsidRDefault="00200D1C" w:rsidP="00200D1C">
      <w:pPr>
        <w:pStyle w:val="Default"/>
        <w:jc w:val="both"/>
        <w:rPr>
          <w:b/>
          <w:bCs/>
          <w:color w:val="auto"/>
          <w:sz w:val="22"/>
          <w:szCs w:val="22"/>
        </w:rPr>
      </w:pPr>
      <w:r w:rsidRPr="004829E3">
        <w:rPr>
          <w:b/>
          <w:bCs/>
          <w:color w:val="auto"/>
          <w:sz w:val="22"/>
          <w:szCs w:val="22"/>
        </w:rPr>
        <w:t>7. Disposizioni Finali</w:t>
      </w:r>
    </w:p>
    <w:p w14:paraId="2CCEAE20" w14:textId="77777777" w:rsidR="00200D1C" w:rsidRPr="004829E3" w:rsidRDefault="00200D1C" w:rsidP="00200D1C">
      <w:pPr>
        <w:pStyle w:val="Default"/>
        <w:jc w:val="both"/>
        <w:rPr>
          <w:color w:val="auto"/>
          <w:sz w:val="22"/>
          <w:szCs w:val="22"/>
        </w:rPr>
      </w:pPr>
      <w:r w:rsidRPr="004829E3">
        <w:rPr>
          <w:b/>
          <w:bCs/>
          <w:color w:val="auto"/>
          <w:sz w:val="22"/>
          <w:szCs w:val="22"/>
        </w:rPr>
        <w:t xml:space="preserve"> </w:t>
      </w:r>
    </w:p>
    <w:p w14:paraId="0FFABF25" w14:textId="77777777" w:rsidR="00200D1C" w:rsidRPr="004829E3" w:rsidRDefault="00200D1C" w:rsidP="00200D1C">
      <w:pPr>
        <w:pStyle w:val="Default"/>
        <w:jc w:val="both"/>
        <w:rPr>
          <w:color w:val="auto"/>
          <w:sz w:val="22"/>
          <w:szCs w:val="22"/>
        </w:rPr>
      </w:pPr>
      <w:r w:rsidRPr="004829E3">
        <w:rPr>
          <w:color w:val="auto"/>
          <w:sz w:val="22"/>
          <w:szCs w:val="22"/>
        </w:rPr>
        <w:t xml:space="preserve">Tutte le funzioni aziendali coinvolte hanno la responsabilità di osservare e far osservare il contenuto del presente protocollo. </w:t>
      </w:r>
    </w:p>
    <w:p w14:paraId="2183A6CA" w14:textId="77777777" w:rsidR="00200D1C" w:rsidRPr="004829E3" w:rsidRDefault="00200D1C" w:rsidP="00200D1C">
      <w:pPr>
        <w:pStyle w:val="Default"/>
        <w:jc w:val="both"/>
        <w:rPr>
          <w:color w:val="auto"/>
          <w:sz w:val="22"/>
          <w:szCs w:val="22"/>
        </w:rPr>
      </w:pPr>
      <w:r w:rsidRPr="004829E3">
        <w:rPr>
          <w:color w:val="auto"/>
          <w:sz w:val="22"/>
          <w:szCs w:val="22"/>
        </w:rPr>
        <w:t xml:space="preserve">Ciascun Destinatario è tenuto a comunicare tempestivamente all’ODV, oltre a quanto espressamente previsto dalla procedura di Gestione dei Rapporti con l’ODV (Prot. 1), ogni anomalia rilevabile in relazione a quanto previsto dal presente protocollo. </w:t>
      </w:r>
    </w:p>
    <w:p w14:paraId="52A25DA3" w14:textId="1227A01F" w:rsidR="00200D1C" w:rsidRPr="004829E3" w:rsidRDefault="00200D1C" w:rsidP="00200D1C">
      <w:pPr>
        <w:jc w:val="both"/>
      </w:pPr>
      <w:r w:rsidRPr="004829E3">
        <w:rPr>
          <w:rFonts w:ascii="Arial" w:hAnsi="Arial" w:cs="Arial"/>
        </w:rPr>
        <w:t>La violazione del presente protocollo e dei suoi obblighi di comunicazione costituisce violazione del MOG231 e illecito disciplinare passibile di sanzione ai sensi di legge e del contratto collettivo nazionale di lavoro app</w:t>
      </w:r>
      <w:r w:rsidRPr="004829E3">
        <w:rPr>
          <w:rFonts w:ascii="Arial" w:hAnsi="Arial" w:cs="Arial"/>
          <w:sz w:val="23"/>
          <w:szCs w:val="23"/>
        </w:rPr>
        <w:t>li</w:t>
      </w:r>
      <w:r w:rsidRPr="004829E3">
        <w:rPr>
          <w:rFonts w:ascii="Arial" w:hAnsi="Arial" w:cs="Arial"/>
        </w:rPr>
        <w:t>cabile</w:t>
      </w:r>
      <w:r w:rsidRPr="004829E3">
        <w:t>.</w:t>
      </w:r>
    </w:p>
    <w:p w14:paraId="15368DA5" w14:textId="68E4B83F" w:rsidR="00E82EC2" w:rsidRPr="004829E3" w:rsidRDefault="00E82EC2" w:rsidP="00200D1C">
      <w:pPr>
        <w:jc w:val="both"/>
      </w:pPr>
    </w:p>
    <w:p w14:paraId="297D49C4" w14:textId="4683A7DD" w:rsidR="00E82EC2" w:rsidRPr="004829E3" w:rsidRDefault="00E82EC2" w:rsidP="00200D1C">
      <w:pPr>
        <w:jc w:val="both"/>
      </w:pPr>
    </w:p>
    <w:p w14:paraId="765D72DF" w14:textId="77777777" w:rsidR="00E82EC2" w:rsidRPr="004829E3" w:rsidRDefault="00E82EC2" w:rsidP="00E82EC2">
      <w:pPr>
        <w:keepNext/>
        <w:keepLines/>
        <w:spacing w:after="40" w:line="240" w:lineRule="auto"/>
        <w:ind w:left="432" w:right="-2"/>
        <w:outlineLvl w:val="0"/>
        <w:rPr>
          <w:rFonts w:ascii="Arial" w:eastAsia="SimSun" w:hAnsi="Arial" w:cs="Arial"/>
          <w:sz w:val="36"/>
          <w:szCs w:val="36"/>
          <w:lang w:eastAsia="it-IT"/>
        </w:rPr>
      </w:pPr>
      <w:r w:rsidRPr="004829E3">
        <w:rPr>
          <w:rFonts w:ascii="Arial" w:eastAsia="SimSun" w:hAnsi="Arial" w:cs="Arial"/>
          <w:sz w:val="36"/>
          <w:szCs w:val="36"/>
          <w:lang w:eastAsia="it-IT"/>
        </w:rPr>
        <w:t>Stato delle revisioni</w:t>
      </w:r>
    </w:p>
    <w:tbl>
      <w:tblPr>
        <w:tblW w:w="0" w:type="auto"/>
        <w:tblInd w:w="72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8664"/>
      </w:tblGrid>
      <w:tr w:rsidR="004829E3" w:rsidRPr="004829E3" w14:paraId="583FDD74" w14:textId="77777777" w:rsidTr="00146132">
        <w:trPr>
          <w:cantSplit/>
          <w:trHeight w:val="433"/>
        </w:trPr>
        <w:tc>
          <w:tcPr>
            <w:tcW w:w="8664" w:type="dxa"/>
            <w:tcBorders>
              <w:bottom w:val="nil"/>
            </w:tcBorders>
            <w:vAlign w:val="center"/>
          </w:tcPr>
          <w:p w14:paraId="7A0CCDCB" w14:textId="77777777" w:rsidR="00E82EC2" w:rsidRPr="004829E3" w:rsidRDefault="00E82EC2" w:rsidP="00E82EC2">
            <w:pPr>
              <w:keepNext/>
              <w:ind w:right="-2"/>
              <w:rPr>
                <w:rFonts w:ascii="Arial" w:eastAsia="Times New Roman" w:hAnsi="Arial" w:cs="Arial"/>
                <w:b/>
                <w:i/>
                <w:sz w:val="14"/>
                <w:lang w:eastAsia="it-IT"/>
              </w:rPr>
            </w:pPr>
            <w:r w:rsidRPr="004829E3">
              <w:rPr>
                <w:rFonts w:ascii="Arial" w:eastAsia="Times New Roman" w:hAnsi="Arial" w:cs="Arial"/>
                <w:b/>
                <w:i/>
                <w:sz w:val="14"/>
                <w:lang w:eastAsia="it-IT"/>
              </w:rPr>
              <w:t>Descrizione</w:t>
            </w:r>
          </w:p>
        </w:tc>
      </w:tr>
      <w:tr w:rsidR="00E82EC2" w:rsidRPr="004829E3" w14:paraId="48D53979" w14:textId="77777777" w:rsidTr="00146132">
        <w:trPr>
          <w:cantSplit/>
          <w:trHeight w:val="576"/>
        </w:trPr>
        <w:tc>
          <w:tcPr>
            <w:tcW w:w="8664" w:type="dxa"/>
            <w:vAlign w:val="center"/>
          </w:tcPr>
          <w:p w14:paraId="251F9CF5" w14:textId="2D359F78" w:rsidR="00E82EC2" w:rsidRPr="004829E3" w:rsidRDefault="004829E3" w:rsidP="00E82EC2">
            <w:pPr>
              <w:spacing w:after="60"/>
              <w:ind w:right="-2"/>
              <w:jc w:val="both"/>
              <w:rPr>
                <w:rFonts w:ascii="Arial" w:eastAsia="Times New Roman" w:hAnsi="Arial" w:cs="Arial"/>
                <w:sz w:val="14"/>
                <w:lang w:eastAsia="it-IT"/>
              </w:rPr>
            </w:pPr>
            <w:r>
              <w:rPr>
                <w:rFonts w:ascii="Arial" w:eastAsia="Times New Roman" w:hAnsi="Arial" w:cs="Arial"/>
                <w:lang w:eastAsia="it-IT"/>
              </w:rPr>
              <w:t>REV. 14/11/2023 – DELIBERA CDA N. 2</w:t>
            </w:r>
          </w:p>
        </w:tc>
      </w:tr>
    </w:tbl>
    <w:p w14:paraId="43CBA3F3" w14:textId="77777777" w:rsidR="00E82EC2" w:rsidRPr="004829E3" w:rsidRDefault="00E82EC2" w:rsidP="00200D1C">
      <w:pPr>
        <w:jc w:val="both"/>
        <w:rPr>
          <w:rFonts w:ascii="Arial" w:hAnsi="Arial" w:cs="Arial"/>
        </w:rPr>
      </w:pPr>
    </w:p>
    <w:sectPr w:rsidR="00E82EC2" w:rsidRPr="004829E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F0522" w14:textId="77777777" w:rsidR="00662C1B" w:rsidRDefault="00662C1B" w:rsidP="00B90FFF">
      <w:pPr>
        <w:spacing w:after="0" w:line="240" w:lineRule="auto"/>
      </w:pPr>
      <w:r>
        <w:separator/>
      </w:r>
    </w:p>
  </w:endnote>
  <w:endnote w:type="continuationSeparator" w:id="0">
    <w:p w14:paraId="34CFFD50" w14:textId="77777777" w:rsidR="00662C1B" w:rsidRDefault="00662C1B" w:rsidP="00B90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FCB38" w14:textId="77777777" w:rsidR="00662C1B" w:rsidRDefault="00662C1B" w:rsidP="00B90FFF">
      <w:pPr>
        <w:spacing w:after="0" w:line="240" w:lineRule="auto"/>
      </w:pPr>
      <w:r>
        <w:separator/>
      </w:r>
    </w:p>
  </w:footnote>
  <w:footnote w:type="continuationSeparator" w:id="0">
    <w:p w14:paraId="55121BC9" w14:textId="77777777" w:rsidR="00662C1B" w:rsidRDefault="00662C1B" w:rsidP="00B90F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BEA83A6"/>
    <w:multiLevelType w:val="hybridMultilevel"/>
    <w:tmpl w:val="B53CA0C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8A6708E"/>
    <w:multiLevelType w:val="hybridMultilevel"/>
    <w:tmpl w:val="295D6AC0"/>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F535FF7"/>
    <w:multiLevelType w:val="hybridMultilevel"/>
    <w:tmpl w:val="351E9AE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C2E2D53"/>
    <w:multiLevelType w:val="hybridMultilevel"/>
    <w:tmpl w:val="6B49904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11CC905"/>
    <w:multiLevelType w:val="hybridMultilevel"/>
    <w:tmpl w:val="DB40A65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99C9EC9"/>
    <w:multiLevelType w:val="hybridMultilevel"/>
    <w:tmpl w:val="7EF9652D"/>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56106B4"/>
    <w:multiLevelType w:val="hybridMultilevel"/>
    <w:tmpl w:val="D398EF80"/>
    <w:lvl w:ilvl="0" w:tplc="98EE8F1E">
      <w:start w:val="1"/>
      <w:numFmt w:val="bullet"/>
      <w:lvlText w:val="-"/>
      <w:lvlJc w:val="left"/>
      <w:pPr>
        <w:ind w:left="3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F47035A6">
      <w:start w:val="1"/>
      <w:numFmt w:val="bullet"/>
      <w:lvlText w:val="o"/>
      <w:lvlJc w:val="left"/>
      <w:pPr>
        <w:ind w:left="14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94782DAA">
      <w:start w:val="1"/>
      <w:numFmt w:val="bullet"/>
      <w:lvlText w:val="▪"/>
      <w:lvlJc w:val="left"/>
      <w:pPr>
        <w:ind w:left="21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1A12ACBC">
      <w:start w:val="1"/>
      <w:numFmt w:val="bullet"/>
      <w:lvlText w:val="•"/>
      <w:lvlJc w:val="left"/>
      <w:pPr>
        <w:ind w:left="28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49ACD35A">
      <w:start w:val="1"/>
      <w:numFmt w:val="bullet"/>
      <w:lvlText w:val="o"/>
      <w:lvlJc w:val="left"/>
      <w:pPr>
        <w:ind w:left="36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9D7063C8">
      <w:start w:val="1"/>
      <w:numFmt w:val="bullet"/>
      <w:lvlText w:val="▪"/>
      <w:lvlJc w:val="left"/>
      <w:pPr>
        <w:ind w:left="43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8F50611E">
      <w:start w:val="1"/>
      <w:numFmt w:val="bullet"/>
      <w:lvlText w:val="•"/>
      <w:lvlJc w:val="left"/>
      <w:pPr>
        <w:ind w:left="50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21181DBC">
      <w:start w:val="1"/>
      <w:numFmt w:val="bullet"/>
      <w:lvlText w:val="o"/>
      <w:lvlJc w:val="left"/>
      <w:pPr>
        <w:ind w:left="57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0F7C5A2A">
      <w:start w:val="1"/>
      <w:numFmt w:val="bullet"/>
      <w:lvlText w:val="▪"/>
      <w:lvlJc w:val="left"/>
      <w:pPr>
        <w:ind w:left="64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6048BE9"/>
    <w:multiLevelType w:val="hybridMultilevel"/>
    <w:tmpl w:val="1628D84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3DD024C"/>
    <w:multiLevelType w:val="hybridMultilevel"/>
    <w:tmpl w:val="7F2C54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9CE5A5D"/>
    <w:multiLevelType w:val="hybridMultilevel"/>
    <w:tmpl w:val="B2AB411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C5D2173"/>
    <w:multiLevelType w:val="hybridMultilevel"/>
    <w:tmpl w:val="2E2CAEAE"/>
    <w:lvl w:ilvl="0" w:tplc="8DFC9AF2">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2E126EA"/>
    <w:multiLevelType w:val="hybridMultilevel"/>
    <w:tmpl w:val="0E2C289C"/>
    <w:lvl w:ilvl="0" w:tplc="0410000B">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3C6D647E"/>
    <w:multiLevelType w:val="hybridMultilevel"/>
    <w:tmpl w:val="48CAD3F8"/>
    <w:lvl w:ilvl="0" w:tplc="078832B8">
      <w:numFmt w:val="bullet"/>
      <w:lvlText w:val="-"/>
      <w:lvlJc w:val="left"/>
      <w:pPr>
        <w:ind w:left="720" w:hanging="360"/>
      </w:pPr>
      <w:rPr>
        <w:rFonts w:ascii="Times New Roman" w:eastAsiaTheme="minorHAnsi" w:hAnsi="Times New Roman" w:cs="Times New Roman" w:hint="default"/>
        <w:sz w:val="23"/>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ED70772"/>
    <w:multiLevelType w:val="hybridMultilevel"/>
    <w:tmpl w:val="A440C4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2E74FC9"/>
    <w:multiLevelType w:val="hybridMultilevel"/>
    <w:tmpl w:val="CF8CBCC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32C2983"/>
    <w:multiLevelType w:val="hybridMultilevel"/>
    <w:tmpl w:val="6DEC6CC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3DE5634"/>
    <w:multiLevelType w:val="hybridMultilevel"/>
    <w:tmpl w:val="ABB238A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4BDF2D7"/>
    <w:multiLevelType w:val="hybridMultilevel"/>
    <w:tmpl w:val="836C2F1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4A642779"/>
    <w:multiLevelType w:val="hybridMultilevel"/>
    <w:tmpl w:val="F4FCED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CDB412E"/>
    <w:multiLevelType w:val="hybridMultilevel"/>
    <w:tmpl w:val="9B081C2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F792B5F"/>
    <w:multiLevelType w:val="hybridMultilevel"/>
    <w:tmpl w:val="1018A87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9385CB6"/>
    <w:multiLevelType w:val="hybridMultilevel"/>
    <w:tmpl w:val="F6E8A3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3DD476D"/>
    <w:multiLevelType w:val="hybridMultilevel"/>
    <w:tmpl w:val="CC788BB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4EE2996"/>
    <w:multiLevelType w:val="hybridMultilevel"/>
    <w:tmpl w:val="FEAF38D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7942ACB3"/>
    <w:multiLevelType w:val="hybridMultilevel"/>
    <w:tmpl w:val="FA9585D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7EA84960"/>
    <w:multiLevelType w:val="hybridMultilevel"/>
    <w:tmpl w:val="A5D0AFDE"/>
    <w:lvl w:ilvl="0" w:tplc="92CC2700">
      <w:start w:val="2"/>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F0F49E8"/>
    <w:multiLevelType w:val="hybridMultilevel"/>
    <w:tmpl w:val="595A3706"/>
    <w:lvl w:ilvl="0" w:tplc="0410000F">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425229615">
    <w:abstractNumId w:val="14"/>
  </w:num>
  <w:num w:numId="2" w16cid:durableId="2073120796">
    <w:abstractNumId w:val="23"/>
  </w:num>
  <w:num w:numId="3" w16cid:durableId="318655230">
    <w:abstractNumId w:val="9"/>
  </w:num>
  <w:num w:numId="4" w16cid:durableId="586353300">
    <w:abstractNumId w:val="7"/>
  </w:num>
  <w:num w:numId="5" w16cid:durableId="563180644">
    <w:abstractNumId w:val="0"/>
  </w:num>
  <w:num w:numId="6" w16cid:durableId="1193804584">
    <w:abstractNumId w:val="1"/>
  </w:num>
  <w:num w:numId="7" w16cid:durableId="608050501">
    <w:abstractNumId w:val="3"/>
  </w:num>
  <w:num w:numId="8" w16cid:durableId="137579901">
    <w:abstractNumId w:val="24"/>
  </w:num>
  <w:num w:numId="9" w16cid:durableId="645621658">
    <w:abstractNumId w:val="17"/>
  </w:num>
  <w:num w:numId="10" w16cid:durableId="1440830222">
    <w:abstractNumId w:val="4"/>
  </w:num>
  <w:num w:numId="11" w16cid:durableId="831336485">
    <w:abstractNumId w:val="2"/>
  </w:num>
  <w:num w:numId="12" w16cid:durableId="855775583">
    <w:abstractNumId w:val="5"/>
  </w:num>
  <w:num w:numId="13" w16cid:durableId="1445271359">
    <w:abstractNumId w:val="8"/>
  </w:num>
  <w:num w:numId="14" w16cid:durableId="1980648887">
    <w:abstractNumId w:val="15"/>
  </w:num>
  <w:num w:numId="15" w16cid:durableId="434785607">
    <w:abstractNumId w:val="12"/>
  </w:num>
  <w:num w:numId="16" w16cid:durableId="1283540684">
    <w:abstractNumId w:val="13"/>
  </w:num>
  <w:num w:numId="17" w16cid:durableId="1637908057">
    <w:abstractNumId w:val="18"/>
  </w:num>
  <w:num w:numId="18" w16cid:durableId="2022390896">
    <w:abstractNumId w:val="20"/>
  </w:num>
  <w:num w:numId="19" w16cid:durableId="1969848143">
    <w:abstractNumId w:val="10"/>
  </w:num>
  <w:num w:numId="20" w16cid:durableId="691611583">
    <w:abstractNumId w:val="21"/>
  </w:num>
  <w:num w:numId="21" w16cid:durableId="809829253">
    <w:abstractNumId w:val="22"/>
  </w:num>
  <w:num w:numId="22" w16cid:durableId="1590843737">
    <w:abstractNumId w:val="11"/>
  </w:num>
  <w:num w:numId="23" w16cid:durableId="2053573981">
    <w:abstractNumId w:val="26"/>
  </w:num>
  <w:num w:numId="24" w16cid:durableId="1343781847">
    <w:abstractNumId w:val="6"/>
  </w:num>
  <w:num w:numId="25" w16cid:durableId="113408329">
    <w:abstractNumId w:val="19"/>
  </w:num>
  <w:num w:numId="26" w16cid:durableId="1239099542">
    <w:abstractNumId w:val="16"/>
  </w:num>
  <w:num w:numId="27" w16cid:durableId="121393170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D1C"/>
    <w:rsid w:val="00000EFB"/>
    <w:rsid w:val="00052B0B"/>
    <w:rsid w:val="0006110C"/>
    <w:rsid w:val="000811FE"/>
    <w:rsid w:val="00090740"/>
    <w:rsid w:val="00103776"/>
    <w:rsid w:val="0010377B"/>
    <w:rsid w:val="00106F92"/>
    <w:rsid w:val="00133FC4"/>
    <w:rsid w:val="00146132"/>
    <w:rsid w:val="001620F9"/>
    <w:rsid w:val="00174132"/>
    <w:rsid w:val="001834BC"/>
    <w:rsid w:val="00200D1C"/>
    <w:rsid w:val="00265B33"/>
    <w:rsid w:val="00273A71"/>
    <w:rsid w:val="002F6CE3"/>
    <w:rsid w:val="00304AC3"/>
    <w:rsid w:val="00342BD0"/>
    <w:rsid w:val="00350ACB"/>
    <w:rsid w:val="0035240C"/>
    <w:rsid w:val="00356507"/>
    <w:rsid w:val="0037094C"/>
    <w:rsid w:val="003771A4"/>
    <w:rsid w:val="00381AE1"/>
    <w:rsid w:val="00393413"/>
    <w:rsid w:val="003B139A"/>
    <w:rsid w:val="003C4991"/>
    <w:rsid w:val="0041212D"/>
    <w:rsid w:val="00420E5D"/>
    <w:rsid w:val="004829E3"/>
    <w:rsid w:val="00485030"/>
    <w:rsid w:val="00493B7F"/>
    <w:rsid w:val="004A4300"/>
    <w:rsid w:val="00547111"/>
    <w:rsid w:val="00561486"/>
    <w:rsid w:val="00585941"/>
    <w:rsid w:val="00590F95"/>
    <w:rsid w:val="005B058A"/>
    <w:rsid w:val="005F07C9"/>
    <w:rsid w:val="006152C2"/>
    <w:rsid w:val="006346B7"/>
    <w:rsid w:val="00662C1B"/>
    <w:rsid w:val="00663099"/>
    <w:rsid w:val="00682681"/>
    <w:rsid w:val="00697FEB"/>
    <w:rsid w:val="006D457A"/>
    <w:rsid w:val="00742776"/>
    <w:rsid w:val="00753399"/>
    <w:rsid w:val="007B30B1"/>
    <w:rsid w:val="007D1018"/>
    <w:rsid w:val="007D423E"/>
    <w:rsid w:val="00831089"/>
    <w:rsid w:val="008326A9"/>
    <w:rsid w:val="00905F13"/>
    <w:rsid w:val="00906982"/>
    <w:rsid w:val="00934301"/>
    <w:rsid w:val="0099024A"/>
    <w:rsid w:val="009D1F96"/>
    <w:rsid w:val="009F41D9"/>
    <w:rsid w:val="00A37B56"/>
    <w:rsid w:val="00A73BD0"/>
    <w:rsid w:val="00A74D96"/>
    <w:rsid w:val="00AE63F2"/>
    <w:rsid w:val="00AF3E67"/>
    <w:rsid w:val="00B21149"/>
    <w:rsid w:val="00B85361"/>
    <w:rsid w:val="00B90FFF"/>
    <w:rsid w:val="00C142D5"/>
    <w:rsid w:val="00C17B6B"/>
    <w:rsid w:val="00C36CFD"/>
    <w:rsid w:val="00C42D6A"/>
    <w:rsid w:val="00C43B9B"/>
    <w:rsid w:val="00C50847"/>
    <w:rsid w:val="00C57EE3"/>
    <w:rsid w:val="00C91117"/>
    <w:rsid w:val="00C96FEA"/>
    <w:rsid w:val="00CB6258"/>
    <w:rsid w:val="00CD1C1E"/>
    <w:rsid w:val="00CF0E2A"/>
    <w:rsid w:val="00D64156"/>
    <w:rsid w:val="00D7177B"/>
    <w:rsid w:val="00D96065"/>
    <w:rsid w:val="00E44BDE"/>
    <w:rsid w:val="00E61FE3"/>
    <w:rsid w:val="00E82EC2"/>
    <w:rsid w:val="00E93DFF"/>
    <w:rsid w:val="00F152FF"/>
    <w:rsid w:val="00F20D1E"/>
    <w:rsid w:val="00F23A2A"/>
    <w:rsid w:val="00F2728D"/>
    <w:rsid w:val="00F30CB7"/>
    <w:rsid w:val="00F55A38"/>
    <w:rsid w:val="00FA0CFC"/>
    <w:rsid w:val="00FD3CB0"/>
    <w:rsid w:val="00FE17FA"/>
    <w:rsid w:val="00FE485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51E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200D1C"/>
    <w:pPr>
      <w:autoSpaceDE w:val="0"/>
      <w:autoSpaceDN w:val="0"/>
      <w:adjustRightInd w:val="0"/>
      <w:spacing w:after="0" w:line="240" w:lineRule="auto"/>
    </w:pPr>
    <w:rPr>
      <w:rFonts w:ascii="Arial" w:hAnsi="Arial" w:cs="Arial"/>
      <w:color w:val="000000"/>
      <w:sz w:val="24"/>
      <w:szCs w:val="24"/>
    </w:rPr>
  </w:style>
  <w:style w:type="paragraph" w:styleId="Intestazione">
    <w:name w:val="header"/>
    <w:basedOn w:val="Normale"/>
    <w:link w:val="IntestazioneCarattere"/>
    <w:uiPriority w:val="99"/>
    <w:unhideWhenUsed/>
    <w:rsid w:val="00B90FF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90FFF"/>
  </w:style>
  <w:style w:type="paragraph" w:styleId="Pidipagina">
    <w:name w:val="footer"/>
    <w:basedOn w:val="Normale"/>
    <w:link w:val="PidipaginaCarattere"/>
    <w:uiPriority w:val="99"/>
    <w:unhideWhenUsed/>
    <w:rsid w:val="00B90FF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90FFF"/>
  </w:style>
  <w:style w:type="paragraph" w:styleId="Paragrafoelenco">
    <w:name w:val="List Paragraph"/>
    <w:basedOn w:val="Normale"/>
    <w:uiPriority w:val="34"/>
    <w:qFormat/>
    <w:rsid w:val="0037094C"/>
    <w:pPr>
      <w:ind w:left="720"/>
      <w:contextualSpacing/>
    </w:pPr>
  </w:style>
  <w:style w:type="paragraph" w:styleId="Testofumetto">
    <w:name w:val="Balloon Text"/>
    <w:basedOn w:val="Normale"/>
    <w:link w:val="TestofumettoCarattere"/>
    <w:uiPriority w:val="99"/>
    <w:semiHidden/>
    <w:unhideWhenUsed/>
    <w:rsid w:val="0014613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46132"/>
    <w:rPr>
      <w:rFonts w:ascii="Segoe UI" w:hAnsi="Segoe UI" w:cs="Segoe UI"/>
      <w:sz w:val="18"/>
      <w:szCs w:val="18"/>
    </w:rPr>
  </w:style>
  <w:style w:type="character" w:styleId="Rimandocommento">
    <w:name w:val="annotation reference"/>
    <w:basedOn w:val="Carpredefinitoparagrafo"/>
    <w:uiPriority w:val="99"/>
    <w:semiHidden/>
    <w:unhideWhenUsed/>
    <w:rsid w:val="00356507"/>
    <w:rPr>
      <w:sz w:val="16"/>
      <w:szCs w:val="16"/>
    </w:rPr>
  </w:style>
  <w:style w:type="paragraph" w:styleId="Testocommento">
    <w:name w:val="annotation text"/>
    <w:basedOn w:val="Normale"/>
    <w:link w:val="TestocommentoCarattere"/>
    <w:uiPriority w:val="99"/>
    <w:semiHidden/>
    <w:unhideWhenUsed/>
    <w:rsid w:val="0035650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35650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4569848">
      <w:bodyDiv w:val="1"/>
      <w:marLeft w:val="0"/>
      <w:marRight w:val="0"/>
      <w:marTop w:val="0"/>
      <w:marBottom w:val="0"/>
      <w:divBdr>
        <w:top w:val="none" w:sz="0" w:space="0" w:color="auto"/>
        <w:left w:val="none" w:sz="0" w:space="0" w:color="auto"/>
        <w:bottom w:val="none" w:sz="0" w:space="0" w:color="auto"/>
        <w:right w:val="none" w:sz="0" w:space="0" w:color="auto"/>
      </w:divBdr>
    </w:div>
    <w:div w:id="2061783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esidenzacanevaro.com"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3540</Words>
  <Characters>20183</Characters>
  <Application>Microsoft Office Word</Application>
  <DocSecurity>0</DocSecurity>
  <Lines>168</Lines>
  <Paragraphs>47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2024-01-16T11:24:00Z</dcterms:created>
  <dcterms:modified xsi:type="dcterms:W3CDTF">2024-01-16T11:25:00Z</dcterms:modified>
</cp:coreProperties>
</file>