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14B3" w14:textId="77777777" w:rsidR="009D3C0D" w:rsidRPr="00546933" w:rsidRDefault="009D3C0D" w:rsidP="00DE70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0"/>
          <w:szCs w:val="40"/>
        </w:rPr>
      </w:pPr>
    </w:p>
    <w:p w14:paraId="270CC470" w14:textId="77777777" w:rsidR="00A05D48" w:rsidRPr="00546933" w:rsidRDefault="00A05D48" w:rsidP="00A05D48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Calibri" w:eastAsia="Calibri" w:hAnsi="Calibri" w:cs="Times New Roman"/>
        </w:rPr>
      </w:pPr>
      <w:r w:rsidRPr="00546933">
        <w:rPr>
          <w:rFonts w:ascii="Calibri" w:eastAsia="Calibri" w:hAnsi="Calibri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 wp14:anchorId="4154D075" wp14:editId="6DCDE4DA">
            <wp:simplePos x="0" y="0"/>
            <wp:positionH relativeFrom="margin">
              <wp:posOffset>-329568</wp:posOffset>
            </wp:positionH>
            <wp:positionV relativeFrom="paragraph">
              <wp:posOffset>7616</wp:posOffset>
            </wp:positionV>
            <wp:extent cx="1638303" cy="971550"/>
            <wp:effectExtent l="0" t="0" r="0" b="0"/>
            <wp:wrapNone/>
            <wp:docPr id="1" name="Immagine 3" descr="acqua ok2o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3" cy="9715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546933">
        <w:rPr>
          <w:rFonts w:ascii="Tahoma" w:eastAsia="Calibri" w:hAnsi="Tahoma" w:cs="Tahoma"/>
          <w:b/>
          <w:sz w:val="24"/>
          <w:szCs w:val="24"/>
        </w:rPr>
        <w:t>Residenza Conte Canevaro</w:t>
      </w:r>
    </w:p>
    <w:p w14:paraId="2FD8B303" w14:textId="77777777" w:rsidR="00A05D48" w:rsidRPr="00546933" w:rsidRDefault="00A05D48" w:rsidP="00A05D48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546933">
        <w:rPr>
          <w:rFonts w:ascii="Tahoma" w:eastAsia="Calibri" w:hAnsi="Tahoma" w:cs="Tahoma"/>
          <w:sz w:val="16"/>
          <w:szCs w:val="16"/>
        </w:rPr>
        <w:t>Via Antica Romana 27</w:t>
      </w:r>
    </w:p>
    <w:p w14:paraId="27584804" w14:textId="77777777" w:rsidR="00A05D48" w:rsidRPr="00546933" w:rsidRDefault="00A05D48" w:rsidP="00A05D48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546933">
        <w:rPr>
          <w:rFonts w:ascii="Tahoma" w:eastAsia="Calibri" w:hAnsi="Tahoma" w:cs="Tahoma"/>
          <w:sz w:val="16"/>
          <w:szCs w:val="16"/>
        </w:rPr>
        <w:t>16035 ZOAGLI</w:t>
      </w:r>
    </w:p>
    <w:p w14:paraId="00CF97B3" w14:textId="77777777" w:rsidR="00A05D48" w:rsidRPr="00546933" w:rsidRDefault="00A05D48" w:rsidP="00A05D48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546933">
        <w:rPr>
          <w:rFonts w:ascii="Tahoma" w:eastAsia="Calibri" w:hAnsi="Tahoma" w:cs="Tahoma"/>
          <w:sz w:val="16"/>
          <w:szCs w:val="16"/>
        </w:rPr>
        <w:t>Tel. 0185259049 fax 0185250034</w:t>
      </w:r>
    </w:p>
    <w:p w14:paraId="36FB6420" w14:textId="77777777" w:rsidR="00A05D48" w:rsidRPr="00546933" w:rsidRDefault="00A05D48" w:rsidP="00A05D48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546933">
        <w:rPr>
          <w:rFonts w:ascii="Tahoma" w:eastAsia="Calibri" w:hAnsi="Tahoma" w:cs="Tahoma"/>
          <w:sz w:val="16"/>
          <w:szCs w:val="16"/>
        </w:rPr>
        <w:t>CF. 83003590102</w:t>
      </w:r>
    </w:p>
    <w:p w14:paraId="653CFF02" w14:textId="77777777" w:rsidR="00A05D48" w:rsidRPr="00546933" w:rsidRDefault="00A05D48" w:rsidP="00A05D48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Calibri" w:eastAsia="Calibri" w:hAnsi="Calibri" w:cs="Times New Roman"/>
        </w:rPr>
      </w:pPr>
      <w:r w:rsidRPr="00546933">
        <w:rPr>
          <w:rFonts w:ascii="Tahoma" w:eastAsia="Calibri" w:hAnsi="Tahoma" w:cs="Tahoma"/>
          <w:sz w:val="16"/>
          <w:szCs w:val="16"/>
        </w:rPr>
        <w:t xml:space="preserve">e-mail </w:t>
      </w:r>
      <w:hyperlink r:id="rId8" w:history="1">
        <w:r w:rsidRPr="00546933">
          <w:rPr>
            <w:rFonts w:ascii="Tahoma" w:eastAsia="Calibri" w:hAnsi="Tahoma" w:cs="Tahoma"/>
            <w:sz w:val="16"/>
            <w:szCs w:val="16"/>
            <w:u w:val="single"/>
          </w:rPr>
          <w:t>info@residenzacanevaro.com</w:t>
        </w:r>
      </w:hyperlink>
    </w:p>
    <w:p w14:paraId="700FDDCB" w14:textId="77777777" w:rsidR="00A05D48" w:rsidRPr="00546933" w:rsidRDefault="00A05D48" w:rsidP="00A05D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0"/>
          <w:szCs w:val="40"/>
        </w:rPr>
      </w:pPr>
    </w:p>
    <w:p w14:paraId="2BBCAE6E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546933">
        <w:rPr>
          <w:rFonts w:ascii="Arial" w:hAnsi="Arial" w:cs="Arial"/>
          <w:sz w:val="40"/>
          <w:szCs w:val="40"/>
        </w:rPr>
        <w:t xml:space="preserve">PROTOCOLLO </w:t>
      </w:r>
      <w:r w:rsidR="008F485C" w:rsidRPr="00546933">
        <w:rPr>
          <w:rFonts w:ascii="Arial" w:hAnsi="Arial" w:cs="Arial"/>
          <w:sz w:val="40"/>
          <w:szCs w:val="40"/>
        </w:rPr>
        <w:t>10</w:t>
      </w:r>
      <w:r w:rsidRPr="00546933">
        <w:rPr>
          <w:rFonts w:ascii="Arial" w:hAnsi="Arial" w:cs="Arial"/>
          <w:sz w:val="40"/>
          <w:szCs w:val="40"/>
        </w:rPr>
        <w:t>:</w:t>
      </w:r>
    </w:p>
    <w:p w14:paraId="007C8B34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546933">
        <w:rPr>
          <w:rFonts w:ascii="Arial" w:hAnsi="Arial" w:cs="Arial"/>
          <w:sz w:val="40"/>
          <w:szCs w:val="40"/>
        </w:rPr>
        <w:t>GESTIONE</w:t>
      </w:r>
      <w:r w:rsidR="008E09F8" w:rsidRPr="00546933">
        <w:rPr>
          <w:rFonts w:ascii="Arial" w:hAnsi="Arial" w:cs="Arial"/>
          <w:sz w:val="40"/>
          <w:szCs w:val="40"/>
        </w:rPr>
        <w:t xml:space="preserve"> DELLA SALUTE DEI PAZIENTI </w:t>
      </w:r>
      <w:proofErr w:type="gramStart"/>
      <w:r w:rsidR="008E09F8" w:rsidRPr="00546933">
        <w:rPr>
          <w:rFonts w:ascii="Arial" w:hAnsi="Arial" w:cs="Arial"/>
          <w:sz w:val="40"/>
          <w:szCs w:val="40"/>
        </w:rPr>
        <w:t xml:space="preserve">E </w:t>
      </w:r>
      <w:r w:rsidRPr="00546933">
        <w:rPr>
          <w:rFonts w:ascii="Arial" w:hAnsi="Arial" w:cs="Arial"/>
          <w:sz w:val="40"/>
          <w:szCs w:val="40"/>
        </w:rPr>
        <w:t xml:space="preserve"> DELL’EROGAZIONE</w:t>
      </w:r>
      <w:proofErr w:type="gramEnd"/>
      <w:r w:rsidRPr="00546933">
        <w:rPr>
          <w:rFonts w:ascii="Arial" w:hAnsi="Arial" w:cs="Arial"/>
          <w:sz w:val="40"/>
          <w:szCs w:val="40"/>
        </w:rPr>
        <w:t xml:space="preserve"> DEL SERVIZIO</w:t>
      </w:r>
    </w:p>
    <w:p w14:paraId="44F50A2E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14:paraId="07945AB6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33">
        <w:rPr>
          <w:rFonts w:ascii="Arial" w:hAnsi="Arial" w:cs="Arial"/>
        </w:rPr>
        <w:t>INDICE:</w:t>
      </w:r>
    </w:p>
    <w:p w14:paraId="6168A872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712FD53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46933">
        <w:rPr>
          <w:rFonts w:ascii="Arial" w:hAnsi="Arial" w:cs="Arial"/>
          <w:sz w:val="20"/>
          <w:szCs w:val="20"/>
        </w:rPr>
        <w:t>1. OBIETTIVI</w:t>
      </w:r>
    </w:p>
    <w:p w14:paraId="7E8D1FCE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46933">
        <w:rPr>
          <w:rFonts w:ascii="Arial" w:hAnsi="Arial" w:cs="Arial"/>
          <w:sz w:val="20"/>
          <w:szCs w:val="20"/>
        </w:rPr>
        <w:t>2. DESTINATARI</w:t>
      </w:r>
    </w:p>
    <w:p w14:paraId="070A2D0E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46933">
        <w:rPr>
          <w:rFonts w:ascii="Arial" w:hAnsi="Arial" w:cs="Arial"/>
          <w:sz w:val="20"/>
          <w:szCs w:val="20"/>
        </w:rPr>
        <w:t>3. PROCESSI AZIENDALI COINVOLTI</w:t>
      </w:r>
    </w:p>
    <w:p w14:paraId="2C6F3872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46933">
        <w:rPr>
          <w:rFonts w:ascii="Arial" w:hAnsi="Arial" w:cs="Arial"/>
          <w:sz w:val="20"/>
          <w:szCs w:val="20"/>
        </w:rPr>
        <w:t>4. DOCUMENTAZIONE INTEGRATIVA</w:t>
      </w:r>
    </w:p>
    <w:p w14:paraId="41D53665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46933">
        <w:rPr>
          <w:rFonts w:ascii="Arial" w:hAnsi="Arial" w:cs="Arial"/>
          <w:sz w:val="20"/>
          <w:szCs w:val="20"/>
        </w:rPr>
        <w:t>5. PROCEDURE DA APPLICARE</w:t>
      </w:r>
    </w:p>
    <w:p w14:paraId="2B949763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46933">
        <w:rPr>
          <w:rFonts w:ascii="Arial" w:hAnsi="Arial" w:cs="Arial"/>
          <w:sz w:val="20"/>
          <w:szCs w:val="20"/>
        </w:rPr>
        <w:t>6. ATTIVITÀ DELL’ODV</w:t>
      </w:r>
    </w:p>
    <w:p w14:paraId="7E806A82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46933">
        <w:rPr>
          <w:rFonts w:ascii="Arial" w:hAnsi="Arial" w:cs="Arial"/>
          <w:sz w:val="20"/>
          <w:szCs w:val="20"/>
        </w:rPr>
        <w:t>7. DISPOSIZIONI FINALI</w:t>
      </w:r>
    </w:p>
    <w:p w14:paraId="1F82EA40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</w:p>
    <w:p w14:paraId="7C6157D0" w14:textId="77777777" w:rsidR="00D73B25" w:rsidRPr="00546933" w:rsidRDefault="00D73B25" w:rsidP="0039274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</w:p>
    <w:p w14:paraId="3D72BA1A" w14:textId="77777777" w:rsidR="00D73B25" w:rsidRPr="00546933" w:rsidRDefault="00D73B25" w:rsidP="0039274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</w:p>
    <w:p w14:paraId="755A54E1" w14:textId="77777777" w:rsidR="0039274C" w:rsidRPr="00546933" w:rsidRDefault="0039274C" w:rsidP="003927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46933">
        <w:rPr>
          <w:rFonts w:ascii="Arial" w:hAnsi="Arial" w:cs="Arial"/>
          <w:b/>
          <w:bCs/>
        </w:rPr>
        <w:t>Obiettivi</w:t>
      </w:r>
    </w:p>
    <w:p w14:paraId="257728FC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76C1F17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 xml:space="preserve">Il presente protocollo ha l’obiettivo di definire ruoli e responsabilità, nonché dettare procedure di prevenzione in relazione alla Gestione dell’erogazione del servizio al fine di prevenire, nell’esecuzione di tale attività, la commissione degli illeciti previsti dal </w:t>
      </w:r>
      <w:proofErr w:type="spellStart"/>
      <w:r w:rsidRPr="00546933">
        <w:rPr>
          <w:rFonts w:ascii="Arial" w:hAnsi="Arial" w:cs="Arial"/>
        </w:rPr>
        <w:t>D.Lgs.</w:t>
      </w:r>
      <w:proofErr w:type="spellEnd"/>
      <w:r w:rsidRPr="00546933">
        <w:rPr>
          <w:rFonts w:ascii="Arial" w:hAnsi="Arial" w:cs="Arial"/>
        </w:rPr>
        <w:t xml:space="preserve"> 231/2001.</w:t>
      </w:r>
    </w:p>
    <w:p w14:paraId="39F1A380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61A3FCB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In particolare, il presente protocollo intende prevenire il verificarsi delle fattispecie di reato previste</w:t>
      </w:r>
    </w:p>
    <w:p w14:paraId="380DFD81" w14:textId="77777777" w:rsidR="0039274C" w:rsidRPr="00546933" w:rsidRDefault="0039274C" w:rsidP="003927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 xml:space="preserve">nei seguenti articoli del </w:t>
      </w:r>
      <w:proofErr w:type="spellStart"/>
      <w:r w:rsidRPr="00546933">
        <w:rPr>
          <w:rFonts w:ascii="Arial" w:hAnsi="Arial" w:cs="Arial"/>
        </w:rPr>
        <w:t>D.Lgs.</w:t>
      </w:r>
      <w:proofErr w:type="spellEnd"/>
      <w:r w:rsidRPr="00546933">
        <w:rPr>
          <w:rFonts w:ascii="Arial" w:hAnsi="Arial" w:cs="Arial"/>
        </w:rPr>
        <w:t xml:space="preserve"> 231/01 (a titolo riassuntivo, rimandandosi per l’analisi dettagliata alla parte speciale del presente MOG231):</w:t>
      </w:r>
    </w:p>
    <w:p w14:paraId="0BC2FE88" w14:textId="77777777" w:rsidR="00164020" w:rsidRPr="00546933" w:rsidRDefault="00164020" w:rsidP="003927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2AB5184" w14:textId="77777777" w:rsidR="00164020" w:rsidRPr="00546933" w:rsidRDefault="00164020" w:rsidP="003927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16311F1" w14:textId="77777777" w:rsidR="00164020" w:rsidRPr="00546933" w:rsidRDefault="008E09F8" w:rsidP="000622C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truffa aggravata in danno dello stato (art. 24 d.lgs. 231/01);</w:t>
      </w:r>
    </w:p>
    <w:p w14:paraId="20B40DFD" w14:textId="77777777" w:rsidR="008E09F8" w:rsidRPr="00546933" w:rsidRDefault="008E09F8" w:rsidP="008E09F8">
      <w:pPr>
        <w:pStyle w:val="Paragrafoelenco"/>
        <w:keepNext/>
        <w:keepLines/>
        <w:numPr>
          <w:ilvl w:val="0"/>
          <w:numId w:val="13"/>
        </w:numPr>
        <w:spacing w:before="400" w:after="40" w:line="240" w:lineRule="auto"/>
        <w:outlineLvl w:val="0"/>
        <w:rPr>
          <w:rFonts w:ascii="Arial" w:eastAsia="SimSun" w:hAnsi="Arial" w:cs="Arial"/>
        </w:rPr>
      </w:pPr>
      <w:bookmarkStart w:id="0" w:name="_Toc684856"/>
      <w:bookmarkStart w:id="1" w:name="_Toc11841395"/>
      <w:bookmarkStart w:id="2" w:name="_Hlk23711497"/>
      <w:r w:rsidRPr="00546933">
        <w:rPr>
          <w:rFonts w:ascii="Arial" w:eastAsia="SimSun" w:hAnsi="Arial" w:cs="Arial"/>
        </w:rPr>
        <w:t>art. 24 bis lgs. 231/2001 “delitti informatici e trattamento illecito di dati”</w:t>
      </w:r>
      <w:bookmarkEnd w:id="0"/>
      <w:bookmarkEnd w:id="1"/>
    </w:p>
    <w:bookmarkEnd w:id="2"/>
    <w:p w14:paraId="368968AB" w14:textId="77777777" w:rsidR="008E09F8" w:rsidRPr="00546933" w:rsidRDefault="008E09F8" w:rsidP="000622C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concussione ex art. 317 c.p.;</w:t>
      </w:r>
    </w:p>
    <w:p w14:paraId="50814615" w14:textId="77777777" w:rsidR="008E09F8" w:rsidRPr="00546933" w:rsidRDefault="008E09F8" w:rsidP="000622C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induzione indebita ex art. 319 quater c.p.;</w:t>
      </w:r>
    </w:p>
    <w:p w14:paraId="0A6A64EE" w14:textId="77777777" w:rsidR="002B558C" w:rsidRPr="00546933" w:rsidRDefault="002B558C" w:rsidP="002B558C">
      <w:pPr>
        <w:pStyle w:val="Paragrafoelenco"/>
        <w:numPr>
          <w:ilvl w:val="0"/>
          <w:numId w:val="13"/>
        </w:numPr>
        <w:jc w:val="both"/>
        <w:rPr>
          <w:rFonts w:ascii="Arial" w:hAnsi="Arial" w:cs="Arial"/>
          <w:bCs/>
          <w:iCs/>
        </w:rPr>
      </w:pPr>
      <w:r w:rsidRPr="00546933">
        <w:rPr>
          <w:rFonts w:ascii="Arial" w:hAnsi="Arial" w:cs="Arial"/>
          <w:bCs/>
          <w:iCs/>
        </w:rPr>
        <w:t>Art. 74 D.p.r. 309/1990 “Associazione finalizzata al traffico illecito di sostanze stupefacenti o psicotrope”</w:t>
      </w:r>
    </w:p>
    <w:p w14:paraId="2EAEB503" w14:textId="49BC1609" w:rsidR="0039274C" w:rsidRPr="00546933" w:rsidRDefault="008E09F8" w:rsidP="0016402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art. 2635 comma 3° c.c. – corruzione tra privati e 2635 bis c.c. – istigazione alla corruzione tra privati (art. 25 ter d.lgs. 231/01).</w:t>
      </w:r>
    </w:p>
    <w:p w14:paraId="3799BB1E" w14:textId="79EC35D8" w:rsidR="002C6CDB" w:rsidRPr="00546933" w:rsidRDefault="002C6CDB" w:rsidP="00A851D6">
      <w:pPr>
        <w:pStyle w:val="Paragrafoelenco"/>
        <w:shd w:val="clear" w:color="auto" w:fill="FFFFFF"/>
        <w:spacing w:after="0" w:line="240" w:lineRule="atLeast"/>
        <w:jc w:val="both"/>
        <w:textAlignment w:val="baseline"/>
        <w:rPr>
          <w:rFonts w:ascii="Arial" w:eastAsia="Times New Roman" w:hAnsi="Arial" w:cs="Arial"/>
          <w:bdr w:val="none" w:sz="0" w:space="0" w:color="auto" w:frame="1"/>
          <w:lang w:eastAsia="it-IT"/>
        </w:rPr>
      </w:pPr>
    </w:p>
    <w:p w14:paraId="4FA63DB2" w14:textId="77777777" w:rsidR="002C6CDB" w:rsidRPr="00546933" w:rsidRDefault="002C6CDB" w:rsidP="002C6CD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F62F08E" w14:textId="77777777" w:rsidR="00164020" w:rsidRPr="00546933" w:rsidRDefault="00164020" w:rsidP="0016402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1B367D5" w14:textId="77777777" w:rsidR="00F910BE" w:rsidRPr="00546933" w:rsidRDefault="0039274C" w:rsidP="003927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La presente procedura è altresì volta a prevenire il reato di cui all’art. 416 c.p. (associazione per delinquere anche in forma transnazionale), laddove finalizzato alla commissione dei reati di cui sopra.</w:t>
      </w:r>
    </w:p>
    <w:p w14:paraId="2AA30DC1" w14:textId="10CEA460" w:rsidR="0039274C" w:rsidRPr="00546933" w:rsidRDefault="0039274C" w:rsidP="0039274C">
      <w:pPr>
        <w:rPr>
          <w:rFonts w:ascii="Arial" w:hAnsi="Arial" w:cs="Arial"/>
        </w:rPr>
      </w:pPr>
    </w:p>
    <w:p w14:paraId="6284BDC1" w14:textId="77777777" w:rsidR="00C12420" w:rsidRPr="00546933" w:rsidRDefault="00C12420" w:rsidP="0039274C">
      <w:pPr>
        <w:rPr>
          <w:rFonts w:ascii="Arial" w:hAnsi="Arial" w:cs="Arial"/>
        </w:rPr>
      </w:pPr>
    </w:p>
    <w:p w14:paraId="4C536181" w14:textId="77777777" w:rsidR="0039274C" w:rsidRPr="00546933" w:rsidRDefault="0039274C" w:rsidP="0039274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46933">
        <w:rPr>
          <w:rFonts w:ascii="Arial" w:hAnsi="Arial" w:cs="Arial"/>
          <w:b/>
          <w:bCs/>
        </w:rPr>
        <w:t>Destinatari</w:t>
      </w:r>
      <w:r w:rsidR="00A97442" w:rsidRPr="00546933">
        <w:rPr>
          <w:rFonts w:ascii="Arial" w:hAnsi="Arial" w:cs="Arial"/>
          <w:b/>
          <w:bCs/>
        </w:rPr>
        <w:t xml:space="preserve"> (Aree a rischio)</w:t>
      </w:r>
    </w:p>
    <w:p w14:paraId="35D07B23" w14:textId="77777777" w:rsidR="0039274C" w:rsidRPr="00546933" w:rsidRDefault="0039274C" w:rsidP="008F485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A10CF6D" w14:textId="77777777" w:rsidR="0039274C" w:rsidRPr="00546933" w:rsidRDefault="0039274C" w:rsidP="00277D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Il presente protocollo, finalizzato alla prevenzione dei reati poc</w:t>
      </w:r>
      <w:r w:rsidR="00277D0C" w:rsidRPr="00546933">
        <w:rPr>
          <w:rFonts w:ascii="Arial" w:hAnsi="Arial" w:cs="Arial"/>
        </w:rPr>
        <w:t>’</w:t>
      </w:r>
      <w:r w:rsidRPr="00546933">
        <w:rPr>
          <w:rFonts w:ascii="Arial" w:hAnsi="Arial" w:cs="Arial"/>
        </w:rPr>
        <w:t>anzi menzionati, trova applicazione</w:t>
      </w:r>
    </w:p>
    <w:p w14:paraId="11F236AF" w14:textId="77777777" w:rsidR="0039274C" w:rsidRPr="00546933" w:rsidRDefault="0039274C" w:rsidP="00277D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nei confronti di tutti coloro che, nell’esercizio dell’attività di propria competenza a favore d</w:t>
      </w:r>
      <w:r w:rsidR="008F485C" w:rsidRPr="00546933">
        <w:rPr>
          <w:rFonts w:ascii="Arial" w:hAnsi="Arial" w:cs="Arial"/>
        </w:rPr>
        <w:t xml:space="preserve">ella </w:t>
      </w:r>
      <w:r w:rsidR="00525DD0" w:rsidRPr="00546933">
        <w:rPr>
          <w:rFonts w:ascii="Arial" w:hAnsi="Arial" w:cs="Arial"/>
        </w:rPr>
        <w:t>Fondazione</w:t>
      </w:r>
      <w:r w:rsidR="008F485C" w:rsidRPr="00546933">
        <w:rPr>
          <w:rFonts w:ascii="Arial" w:hAnsi="Arial" w:cs="Arial"/>
        </w:rPr>
        <w:t xml:space="preserve"> </w:t>
      </w:r>
      <w:r w:rsidRPr="00546933">
        <w:rPr>
          <w:rFonts w:ascii="Arial" w:hAnsi="Arial" w:cs="Arial"/>
        </w:rPr>
        <w:t>intervengono nella gestione dell’erogazione del servizio.</w:t>
      </w:r>
    </w:p>
    <w:p w14:paraId="14287FE3" w14:textId="77777777" w:rsidR="0039274C" w:rsidRPr="00546933" w:rsidRDefault="0039274C" w:rsidP="00277D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In particolare, i processi aziendali sensibili ai fini della presente procedura prevedono il</w:t>
      </w:r>
    </w:p>
    <w:p w14:paraId="70BEF6A9" w14:textId="77777777" w:rsidR="0039274C" w:rsidRPr="00546933" w:rsidRDefault="0039274C" w:rsidP="00277D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coinvolgimento, secondo le rispettive competenze, dei seguenti soggetti:</w:t>
      </w:r>
    </w:p>
    <w:p w14:paraId="6909B15F" w14:textId="77777777" w:rsidR="008F485C" w:rsidRPr="00546933" w:rsidRDefault="008F485C" w:rsidP="008F485C">
      <w:pPr>
        <w:rPr>
          <w:rFonts w:ascii="Arial" w:hAnsi="Arial" w:cs="Arial"/>
        </w:rPr>
      </w:pPr>
    </w:p>
    <w:p w14:paraId="33E66CA5" w14:textId="77777777" w:rsidR="008E09F8" w:rsidRPr="00546933" w:rsidRDefault="008E09F8" w:rsidP="008F485C">
      <w:pPr>
        <w:rPr>
          <w:rFonts w:ascii="Arial" w:hAnsi="Arial" w:cs="Arial"/>
        </w:rPr>
      </w:pPr>
    </w:p>
    <w:p w14:paraId="29E2B555" w14:textId="77777777" w:rsidR="008F485C" w:rsidRPr="00546933" w:rsidRDefault="008F485C" w:rsidP="008F485C">
      <w:pPr>
        <w:pStyle w:val="Paragrafoelenco"/>
        <w:numPr>
          <w:ilvl w:val="1"/>
          <w:numId w:val="15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Presidente del Cda</w:t>
      </w:r>
    </w:p>
    <w:p w14:paraId="79534AFA" w14:textId="2FADA60D" w:rsidR="008E09F8" w:rsidRPr="00546933" w:rsidRDefault="008E09F8" w:rsidP="008F485C">
      <w:pPr>
        <w:pStyle w:val="Paragrafoelenco"/>
        <w:numPr>
          <w:ilvl w:val="1"/>
          <w:numId w:val="15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Responsabile Affari Generali e Legali</w:t>
      </w:r>
      <w:r w:rsidR="00365C43" w:rsidRPr="00546933">
        <w:rPr>
          <w:rFonts w:ascii="Arial" w:hAnsi="Arial" w:cs="Arial"/>
        </w:rPr>
        <w:t>/Responsabile Amministrativo facente funzioni</w:t>
      </w:r>
    </w:p>
    <w:p w14:paraId="6F8CF2ED" w14:textId="69051EAC" w:rsidR="008E09F8" w:rsidRPr="00546933" w:rsidRDefault="002D1180" w:rsidP="008F485C">
      <w:pPr>
        <w:pStyle w:val="Paragrafoelenco"/>
        <w:numPr>
          <w:ilvl w:val="1"/>
          <w:numId w:val="15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Direttore</w:t>
      </w:r>
      <w:r w:rsidR="008E09F8" w:rsidRPr="00546933">
        <w:rPr>
          <w:rFonts w:ascii="Arial" w:hAnsi="Arial" w:cs="Arial"/>
        </w:rPr>
        <w:t xml:space="preserve"> Sanitario;</w:t>
      </w:r>
    </w:p>
    <w:p w14:paraId="0D506FBA" w14:textId="77777777" w:rsidR="008E09F8" w:rsidRPr="00546933" w:rsidRDefault="008E09F8" w:rsidP="008F485C">
      <w:pPr>
        <w:pStyle w:val="Paragrafoelenco"/>
        <w:numPr>
          <w:ilvl w:val="1"/>
          <w:numId w:val="15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Medico di struttura;</w:t>
      </w:r>
    </w:p>
    <w:p w14:paraId="61DAEF56" w14:textId="77777777" w:rsidR="008E09F8" w:rsidRPr="00546933" w:rsidRDefault="008E09F8" w:rsidP="008F485C">
      <w:pPr>
        <w:pStyle w:val="Paragrafoelenco"/>
        <w:numPr>
          <w:ilvl w:val="1"/>
          <w:numId w:val="15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Responsabile Settore infermieristico;</w:t>
      </w:r>
    </w:p>
    <w:p w14:paraId="271C9BFF" w14:textId="77777777" w:rsidR="008E09F8" w:rsidRPr="00546933" w:rsidRDefault="008E09F8" w:rsidP="008F485C">
      <w:pPr>
        <w:pStyle w:val="Paragrafoelenco"/>
        <w:numPr>
          <w:ilvl w:val="1"/>
          <w:numId w:val="15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Settore Infermieristico</w:t>
      </w:r>
    </w:p>
    <w:p w14:paraId="0F9952BE" w14:textId="77777777" w:rsidR="002B558C" w:rsidRPr="00546933" w:rsidRDefault="002B558C" w:rsidP="008F485C">
      <w:pPr>
        <w:pStyle w:val="Paragrafoelenco"/>
        <w:numPr>
          <w:ilvl w:val="1"/>
          <w:numId w:val="15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Collaboratore amministrativo</w:t>
      </w:r>
    </w:p>
    <w:p w14:paraId="0807F2FB" w14:textId="77777777" w:rsidR="001176B6" w:rsidRPr="00546933" w:rsidRDefault="001176B6" w:rsidP="001176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FA42684" w14:textId="77777777" w:rsidR="00D73B25" w:rsidRPr="00546933" w:rsidRDefault="00D73B25" w:rsidP="001176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7665292" w14:textId="77777777" w:rsidR="001176B6" w:rsidRPr="00546933" w:rsidRDefault="001176B6" w:rsidP="001176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B7A82DB" w14:textId="77777777" w:rsidR="0039274C" w:rsidRPr="00546933" w:rsidRDefault="0039274C" w:rsidP="001176B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46933">
        <w:rPr>
          <w:rFonts w:ascii="Arial" w:hAnsi="Arial" w:cs="Arial"/>
          <w:b/>
          <w:bCs/>
        </w:rPr>
        <w:t>Processi aziendali coinvolti</w:t>
      </w:r>
      <w:r w:rsidR="00A97442" w:rsidRPr="00546933">
        <w:rPr>
          <w:rFonts w:ascii="Arial" w:hAnsi="Arial" w:cs="Arial"/>
          <w:b/>
          <w:bCs/>
        </w:rPr>
        <w:t xml:space="preserve"> (Processi a rischio)</w:t>
      </w:r>
    </w:p>
    <w:p w14:paraId="65FAE0E6" w14:textId="77777777" w:rsidR="001176B6" w:rsidRPr="00546933" w:rsidRDefault="001176B6" w:rsidP="001176B6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492D37C" w14:textId="77777777" w:rsidR="0039274C" w:rsidRPr="00546933" w:rsidRDefault="0039274C" w:rsidP="001176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I Destinatari del</w:t>
      </w:r>
      <w:r w:rsidR="001176B6" w:rsidRPr="00546933">
        <w:rPr>
          <w:rFonts w:ascii="Arial" w:hAnsi="Arial" w:cs="Arial"/>
        </w:rPr>
        <w:t xml:space="preserve"> presente protocollo</w:t>
      </w:r>
      <w:r w:rsidRPr="00546933">
        <w:rPr>
          <w:rFonts w:ascii="Arial" w:hAnsi="Arial" w:cs="Arial"/>
        </w:rPr>
        <w:t>, per quanto rileva ai fini della prevenzione dei reati poc</w:t>
      </w:r>
      <w:r w:rsidR="001176B6" w:rsidRPr="00546933">
        <w:rPr>
          <w:rFonts w:ascii="Arial" w:hAnsi="Arial" w:cs="Arial"/>
        </w:rPr>
        <w:t>’</w:t>
      </w:r>
      <w:r w:rsidRPr="00546933">
        <w:rPr>
          <w:rFonts w:ascii="Arial" w:hAnsi="Arial" w:cs="Arial"/>
        </w:rPr>
        <w:t>anzi</w:t>
      </w:r>
      <w:r w:rsidR="001176B6" w:rsidRPr="00546933">
        <w:rPr>
          <w:rFonts w:ascii="Arial" w:hAnsi="Arial" w:cs="Arial"/>
        </w:rPr>
        <w:t xml:space="preserve"> </w:t>
      </w:r>
      <w:r w:rsidRPr="00546933">
        <w:rPr>
          <w:rFonts w:ascii="Arial" w:hAnsi="Arial" w:cs="Arial"/>
        </w:rPr>
        <w:t xml:space="preserve">menzionati, partecipano alla gestione </w:t>
      </w:r>
      <w:r w:rsidR="001176B6" w:rsidRPr="00546933">
        <w:rPr>
          <w:rFonts w:ascii="Arial" w:hAnsi="Arial" w:cs="Arial"/>
        </w:rPr>
        <w:t xml:space="preserve">dell’erogazione del servizio </w:t>
      </w:r>
      <w:r w:rsidRPr="00546933">
        <w:rPr>
          <w:rFonts w:ascii="Arial" w:hAnsi="Arial" w:cs="Arial"/>
        </w:rPr>
        <w:t>principalmente</w:t>
      </w:r>
      <w:r w:rsidR="001176B6" w:rsidRPr="00546933">
        <w:rPr>
          <w:rFonts w:ascii="Arial" w:hAnsi="Arial" w:cs="Arial"/>
        </w:rPr>
        <w:t xml:space="preserve"> (</w:t>
      </w:r>
      <w:r w:rsidRPr="00546933">
        <w:rPr>
          <w:rFonts w:ascii="Arial" w:hAnsi="Arial" w:cs="Arial"/>
        </w:rPr>
        <w:t>ed a titolo esemplificativo) attraverso i seguenti processi aziendali:</w:t>
      </w:r>
    </w:p>
    <w:p w14:paraId="6FC82684" w14:textId="77777777" w:rsidR="001176B6" w:rsidRPr="00546933" w:rsidRDefault="001176B6" w:rsidP="001176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7A9A6D" w14:textId="77777777" w:rsidR="00DB179B" w:rsidRPr="00546933" w:rsidRDefault="001176B6" w:rsidP="008C415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33">
        <w:rPr>
          <w:rFonts w:ascii="Arial" w:hAnsi="Arial" w:cs="Arial"/>
        </w:rPr>
        <w:t>gestione erogazione del servizio</w:t>
      </w:r>
      <w:r w:rsidR="008C4156" w:rsidRPr="00546933">
        <w:rPr>
          <w:rFonts w:ascii="Arial" w:hAnsi="Arial" w:cs="Arial"/>
        </w:rPr>
        <w:t xml:space="preserve"> e </w:t>
      </w:r>
      <w:r w:rsidR="00DB179B" w:rsidRPr="00546933">
        <w:rPr>
          <w:rFonts w:ascii="Arial" w:hAnsi="Arial" w:cs="Arial"/>
        </w:rPr>
        <w:t>controllo</w:t>
      </w:r>
      <w:r w:rsidR="00A77787" w:rsidRPr="00546933">
        <w:rPr>
          <w:rFonts w:ascii="Arial" w:hAnsi="Arial" w:cs="Arial"/>
        </w:rPr>
        <w:t xml:space="preserve"> sulla corretta esecuzione del servizio</w:t>
      </w:r>
      <w:r w:rsidR="000622C5" w:rsidRPr="00546933">
        <w:rPr>
          <w:rFonts w:ascii="Arial" w:hAnsi="Arial" w:cs="Arial"/>
        </w:rPr>
        <w:t>;</w:t>
      </w:r>
    </w:p>
    <w:p w14:paraId="368326D5" w14:textId="77777777" w:rsidR="000622C5" w:rsidRPr="00546933" w:rsidRDefault="000622C5" w:rsidP="00BE523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33">
        <w:rPr>
          <w:rFonts w:ascii="Arial" w:hAnsi="Arial" w:cs="Arial"/>
        </w:rPr>
        <w:t>gestione de</w:t>
      </w:r>
      <w:r w:rsidR="008C4156" w:rsidRPr="00546933">
        <w:rPr>
          <w:rFonts w:ascii="Arial" w:hAnsi="Arial" w:cs="Arial"/>
        </w:rPr>
        <w:t>lla salute dei pazienti;</w:t>
      </w:r>
    </w:p>
    <w:p w14:paraId="18DA25D0" w14:textId="77777777" w:rsidR="0039274C" w:rsidRPr="00546933" w:rsidRDefault="0039274C" w:rsidP="0039274C">
      <w:pPr>
        <w:rPr>
          <w:rFonts w:ascii="Arial" w:hAnsi="Arial" w:cs="Arial"/>
        </w:rPr>
      </w:pPr>
    </w:p>
    <w:p w14:paraId="03E95B48" w14:textId="77777777" w:rsidR="0039274C" w:rsidRPr="00546933" w:rsidRDefault="0039274C" w:rsidP="001176B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46933">
        <w:rPr>
          <w:rFonts w:ascii="Arial" w:hAnsi="Arial" w:cs="Arial"/>
          <w:b/>
          <w:bCs/>
        </w:rPr>
        <w:t>Documentazione integrativa</w:t>
      </w:r>
    </w:p>
    <w:p w14:paraId="2A5F8DE8" w14:textId="77777777" w:rsidR="001176B6" w:rsidRPr="00546933" w:rsidRDefault="001176B6" w:rsidP="001176B6">
      <w:pPr>
        <w:pStyle w:val="Paragrafoelenco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ED3D254" w14:textId="77777777" w:rsidR="0039274C" w:rsidRPr="00546933" w:rsidRDefault="001176B6" w:rsidP="001176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 xml:space="preserve">Il presente protocollo </w:t>
      </w:r>
      <w:r w:rsidR="0039274C" w:rsidRPr="00546933">
        <w:rPr>
          <w:rFonts w:ascii="Arial" w:hAnsi="Arial" w:cs="Arial"/>
        </w:rPr>
        <w:t>richiama ed integra quanto già disciplinato nell’ambito della seguente</w:t>
      </w:r>
      <w:r w:rsidRPr="00546933">
        <w:rPr>
          <w:rFonts w:ascii="Arial" w:hAnsi="Arial" w:cs="Arial"/>
        </w:rPr>
        <w:t xml:space="preserve"> </w:t>
      </w:r>
      <w:r w:rsidR="0039274C" w:rsidRPr="00546933">
        <w:rPr>
          <w:rFonts w:ascii="Arial" w:hAnsi="Arial" w:cs="Arial"/>
        </w:rPr>
        <w:t>documentazione:</w:t>
      </w:r>
    </w:p>
    <w:p w14:paraId="0F389A37" w14:textId="77777777" w:rsidR="001176B6" w:rsidRPr="00546933" w:rsidRDefault="001176B6" w:rsidP="001176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980DE37" w14:textId="77777777" w:rsidR="0039274C" w:rsidRPr="00546933" w:rsidRDefault="0039274C" w:rsidP="007A006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33">
        <w:rPr>
          <w:rFonts w:ascii="Arial" w:hAnsi="Arial" w:cs="Arial"/>
        </w:rPr>
        <w:t>Codice Etico</w:t>
      </w:r>
      <w:r w:rsidR="00DD2D95" w:rsidRPr="00546933">
        <w:rPr>
          <w:rFonts w:ascii="Arial" w:hAnsi="Arial" w:cs="Arial"/>
        </w:rPr>
        <w:t>;</w:t>
      </w:r>
    </w:p>
    <w:p w14:paraId="2FD99A3B" w14:textId="767125F1" w:rsidR="0039274C" w:rsidRPr="00546933" w:rsidRDefault="0039274C" w:rsidP="007A006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33">
        <w:rPr>
          <w:rFonts w:ascii="Arial" w:hAnsi="Arial" w:cs="Arial"/>
        </w:rPr>
        <w:t>Poteri, deleghe e procure</w:t>
      </w:r>
      <w:r w:rsidR="00712283" w:rsidRPr="00546933">
        <w:rPr>
          <w:rFonts w:ascii="Arial" w:hAnsi="Arial" w:cs="Arial"/>
        </w:rPr>
        <w:t>;</w:t>
      </w:r>
    </w:p>
    <w:p w14:paraId="49FE9064" w14:textId="6548D862" w:rsidR="008C4156" w:rsidRPr="00546933" w:rsidRDefault="008C4156" w:rsidP="007A006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33">
        <w:rPr>
          <w:rFonts w:ascii="Arial" w:hAnsi="Arial" w:cs="Arial"/>
        </w:rPr>
        <w:t>PQ aziendali di riferimento (elencate nelle seguenti procedure di prevenzione)</w:t>
      </w:r>
      <w:r w:rsidR="00712283" w:rsidRPr="00546933">
        <w:rPr>
          <w:rFonts w:ascii="Arial" w:hAnsi="Arial" w:cs="Arial"/>
        </w:rPr>
        <w:t>;</w:t>
      </w:r>
    </w:p>
    <w:p w14:paraId="36A2106D" w14:textId="33246372" w:rsidR="00712283" w:rsidRPr="00546933" w:rsidRDefault="00B416C9" w:rsidP="007A006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33">
        <w:rPr>
          <w:rFonts w:ascii="Arial" w:hAnsi="Arial" w:cs="Arial"/>
        </w:rPr>
        <w:t>Documentazione della Fondazione attestante le disposizioni adottate per la prevenzione e la tutela della salute degli ospiti al fine di contrastare l’emergenza epidemiologica da Covid-19, in ossequio alle norme emanate a livello nazionale, regionale e locale;</w:t>
      </w:r>
    </w:p>
    <w:p w14:paraId="45F626B1" w14:textId="77777777" w:rsidR="0039274C" w:rsidRPr="00546933" w:rsidRDefault="0039274C" w:rsidP="007A0062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33">
        <w:rPr>
          <w:rFonts w:ascii="Arial" w:hAnsi="Arial" w:cs="Arial"/>
        </w:rPr>
        <w:t>Altr</w:t>
      </w:r>
      <w:r w:rsidR="00DD2D95" w:rsidRPr="00546933">
        <w:rPr>
          <w:rFonts w:ascii="Arial" w:hAnsi="Arial" w:cs="Arial"/>
        </w:rPr>
        <w:t>i protocolli</w:t>
      </w:r>
      <w:r w:rsidRPr="00546933">
        <w:rPr>
          <w:rFonts w:ascii="Arial" w:hAnsi="Arial" w:cs="Arial"/>
        </w:rPr>
        <w:t xml:space="preserve"> del presente MOG231 cui si rinvia, per quanto di competenza, con</w:t>
      </w:r>
      <w:r w:rsidR="00DD2D95" w:rsidRPr="00546933">
        <w:rPr>
          <w:rFonts w:ascii="Arial" w:hAnsi="Arial" w:cs="Arial"/>
        </w:rPr>
        <w:t xml:space="preserve"> </w:t>
      </w:r>
      <w:r w:rsidRPr="00546933">
        <w:rPr>
          <w:rFonts w:ascii="Arial" w:hAnsi="Arial" w:cs="Arial"/>
        </w:rPr>
        <w:t>particolare – ma non esclusivo – riferimento a:</w:t>
      </w:r>
    </w:p>
    <w:p w14:paraId="0F373064" w14:textId="77777777" w:rsidR="00DD2D95" w:rsidRPr="00546933" w:rsidRDefault="00DD2D95" w:rsidP="00B416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254C3DD" w14:textId="6D9716E9" w:rsidR="00DB179B" w:rsidRPr="00546933" w:rsidRDefault="00DB179B" w:rsidP="00B416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 xml:space="preserve"> - protocollo 1 (gestione dei rapporti con l’OdV) per quanto attiene i flussi informativi verso l’OdV;</w:t>
      </w:r>
    </w:p>
    <w:p w14:paraId="3D4AB329" w14:textId="2D0B56DC" w:rsidR="00DB179B" w:rsidRPr="00546933" w:rsidRDefault="00DB179B" w:rsidP="00B416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- protocollo 5 (anticorruzione e gestione dei rapporti con la P.A.) per quanto attiene i rapporti con le Autorità Pubbliche e con gli Enti Privati</w:t>
      </w:r>
      <w:r w:rsidR="008C4156" w:rsidRPr="00546933">
        <w:rPr>
          <w:rFonts w:ascii="Arial" w:hAnsi="Arial" w:cs="Arial"/>
        </w:rPr>
        <w:t>;</w:t>
      </w:r>
    </w:p>
    <w:p w14:paraId="4089A8EA" w14:textId="48FF9A3B" w:rsidR="000F0E6B" w:rsidRPr="00546933" w:rsidRDefault="00B416C9" w:rsidP="002C6CDB">
      <w:pPr>
        <w:pStyle w:val="Testocommento"/>
        <w:jc w:val="both"/>
      </w:pPr>
      <w:r w:rsidRPr="00546933">
        <w:rPr>
          <w:rFonts w:ascii="Arial" w:hAnsi="Arial" w:cs="Arial"/>
        </w:rPr>
        <w:t xml:space="preserve">- </w:t>
      </w:r>
      <w:r w:rsidRPr="00546933">
        <w:rPr>
          <w:rFonts w:ascii="Arial" w:hAnsi="Arial" w:cs="Arial"/>
          <w:sz w:val="22"/>
          <w:szCs w:val="22"/>
        </w:rPr>
        <w:t>protocollo 7 (gestione della salute e della sicurezza) per quanto attiene ai dispositivi di sicurezza messi a disposizione dalla Fondazione ai propri dipendenti (con specifico rimando al DVR e al suo allegato inerente alla valutazione del rischio biologico relativo all’improvvisa emergenza correlata alla diffusione del virus Covid</w:t>
      </w:r>
      <w:r w:rsidR="002C6CDB" w:rsidRPr="00546933">
        <w:rPr>
          <w:rFonts w:ascii="Arial" w:hAnsi="Arial" w:cs="Arial"/>
          <w:sz w:val="22"/>
          <w:szCs w:val="22"/>
        </w:rPr>
        <w:t xml:space="preserve"> </w:t>
      </w:r>
      <w:r w:rsidRPr="00546933">
        <w:rPr>
          <w:rFonts w:ascii="Arial" w:hAnsi="Arial" w:cs="Arial"/>
          <w:sz w:val="22"/>
          <w:szCs w:val="22"/>
        </w:rPr>
        <w:t>19</w:t>
      </w:r>
      <w:r w:rsidR="00A851D6" w:rsidRPr="00546933">
        <w:rPr>
          <w:rFonts w:ascii="Arial" w:hAnsi="Arial" w:cs="Arial"/>
          <w:sz w:val="22"/>
          <w:szCs w:val="22"/>
        </w:rPr>
        <w:t>)</w:t>
      </w:r>
    </w:p>
    <w:p w14:paraId="30CEDD3A" w14:textId="77777777" w:rsidR="002C6CDB" w:rsidRPr="00546933" w:rsidRDefault="002C6CDB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2D64E66" w14:textId="19708EE0" w:rsidR="00DB179B" w:rsidRPr="00546933" w:rsidRDefault="00DB179B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46933">
        <w:rPr>
          <w:rFonts w:ascii="Arial" w:hAnsi="Arial" w:cs="Arial"/>
        </w:rPr>
        <w:t xml:space="preserve"> </w:t>
      </w:r>
    </w:p>
    <w:p w14:paraId="187C54AB" w14:textId="74C8D1C0" w:rsidR="00C12420" w:rsidRPr="00546933" w:rsidRDefault="00C12420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723A457" w14:textId="77777777" w:rsidR="00C12420" w:rsidRPr="00546933" w:rsidRDefault="00C12420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28A5621" w14:textId="77777777" w:rsidR="0039274C" w:rsidRPr="00546933" w:rsidRDefault="0039274C" w:rsidP="00DD2D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46933">
        <w:rPr>
          <w:rFonts w:ascii="Arial" w:hAnsi="Arial" w:cs="Arial"/>
          <w:b/>
          <w:bCs/>
        </w:rPr>
        <w:t>Procedure da applicare</w:t>
      </w:r>
    </w:p>
    <w:p w14:paraId="5016F6DF" w14:textId="77777777" w:rsidR="00DD2D95" w:rsidRPr="00546933" w:rsidRDefault="00DD2D95" w:rsidP="001328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C099C69" w14:textId="77777777" w:rsidR="0039274C" w:rsidRPr="00546933" w:rsidRDefault="00E63FBC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u w:val="single"/>
        </w:rPr>
      </w:pPr>
      <w:r w:rsidRPr="00546933">
        <w:rPr>
          <w:rFonts w:ascii="Arial" w:hAnsi="Arial" w:cs="Arial"/>
          <w:i/>
          <w:iCs/>
          <w:u w:val="single"/>
        </w:rPr>
        <w:t>a</w:t>
      </w:r>
      <w:r w:rsidR="0039274C" w:rsidRPr="00546933">
        <w:rPr>
          <w:rFonts w:ascii="Arial" w:hAnsi="Arial" w:cs="Arial"/>
          <w:i/>
          <w:iCs/>
          <w:u w:val="single"/>
        </w:rPr>
        <w:t xml:space="preserve">) </w:t>
      </w:r>
      <w:r w:rsidR="00BE523A" w:rsidRPr="00546933">
        <w:rPr>
          <w:rFonts w:ascii="Arial" w:hAnsi="Arial" w:cs="Arial"/>
          <w:i/>
          <w:iCs/>
          <w:u w:val="single"/>
        </w:rPr>
        <w:t xml:space="preserve">gestione erogazione del servizio </w:t>
      </w:r>
      <w:r w:rsidR="00430F52" w:rsidRPr="00546933">
        <w:rPr>
          <w:rFonts w:ascii="Arial" w:hAnsi="Arial" w:cs="Arial"/>
          <w:i/>
          <w:iCs/>
          <w:u w:val="single"/>
        </w:rPr>
        <w:t>e controllo sulla corretta esecuzione del servizio</w:t>
      </w:r>
    </w:p>
    <w:p w14:paraId="37C221FD" w14:textId="77777777" w:rsidR="00BE523A" w:rsidRPr="00546933" w:rsidRDefault="00BE523A" w:rsidP="003927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2D9EC971" w14:textId="77777777" w:rsidR="00277D0C" w:rsidRPr="00546933" w:rsidRDefault="00277D0C" w:rsidP="001328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FA2C86C" w14:textId="77777777" w:rsidR="00CF4330" w:rsidRPr="00546933" w:rsidRDefault="008C4156" w:rsidP="00CF43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 xml:space="preserve">Si rimanda alla PQ </w:t>
      </w:r>
      <w:r w:rsidR="00430F52" w:rsidRPr="00546933">
        <w:rPr>
          <w:rFonts w:ascii="Arial" w:hAnsi="Arial" w:cs="Arial"/>
        </w:rPr>
        <w:t xml:space="preserve">02 “erogazione del servizio”, che diventa parte integrante del presente protocollo. </w:t>
      </w:r>
    </w:p>
    <w:p w14:paraId="4D7586F2" w14:textId="77777777" w:rsidR="00C12420" w:rsidRPr="00546933" w:rsidRDefault="00C12420" w:rsidP="00132808">
      <w:pPr>
        <w:jc w:val="both"/>
        <w:rPr>
          <w:rFonts w:ascii="Arial" w:hAnsi="Arial" w:cs="Arial"/>
          <w:u w:val="single"/>
        </w:rPr>
      </w:pPr>
    </w:p>
    <w:p w14:paraId="3FB7B7E7" w14:textId="77777777" w:rsidR="000622C5" w:rsidRPr="00546933" w:rsidRDefault="00430F52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546933">
        <w:rPr>
          <w:rFonts w:ascii="Arial" w:hAnsi="Arial" w:cs="Arial"/>
          <w:i/>
          <w:u w:val="single"/>
        </w:rPr>
        <w:t>b) Gestione della salute dei pazienti</w:t>
      </w:r>
    </w:p>
    <w:p w14:paraId="0616ECEB" w14:textId="77777777" w:rsidR="000622C5" w:rsidRPr="00546933" w:rsidRDefault="000622C5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</w:p>
    <w:p w14:paraId="388B983D" w14:textId="77777777" w:rsidR="00A97442" w:rsidRPr="00546933" w:rsidRDefault="00430F52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Si rimanda alle seguenti PQ, che devono essere obbligatoriamente osservate dai destinatari del presente protocollo e che ne diventano parte integrante:</w:t>
      </w:r>
    </w:p>
    <w:p w14:paraId="5E5C1DB9" w14:textId="77777777" w:rsidR="00430F52" w:rsidRPr="00546933" w:rsidRDefault="00430F52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ED1994" w14:textId="77777777" w:rsidR="00430F52" w:rsidRPr="00546933" w:rsidRDefault="00430F52" w:rsidP="00430F5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PQ 01 “Gestione dei farmaci e dei dispositivi medici” e “approvvigionamento”;</w:t>
      </w:r>
    </w:p>
    <w:p w14:paraId="38FAEE4D" w14:textId="77777777" w:rsidR="00430F52" w:rsidRPr="00546933" w:rsidRDefault="00430F52" w:rsidP="00430F5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PQ 05 “Gestione del rischio clinico”;</w:t>
      </w:r>
    </w:p>
    <w:p w14:paraId="0D94C7E8" w14:textId="77777777" w:rsidR="00430F52" w:rsidRPr="00546933" w:rsidRDefault="00430F52" w:rsidP="00430F5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PQ 08 “Verifica della continuità assistenziale”;</w:t>
      </w:r>
    </w:p>
    <w:p w14:paraId="1FC5D125" w14:textId="77777777" w:rsidR="00430F52" w:rsidRPr="00546933" w:rsidRDefault="00430F52" w:rsidP="00430F5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PQ 09 “Gestione delle risorse tecnologiche”;</w:t>
      </w:r>
    </w:p>
    <w:p w14:paraId="02F54552" w14:textId="77777777" w:rsidR="00430F52" w:rsidRPr="00546933" w:rsidRDefault="00430F52" w:rsidP="00430F5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PQ 10 “Gestione della documentazione sanitaria”;</w:t>
      </w:r>
    </w:p>
    <w:p w14:paraId="16711C34" w14:textId="77777777" w:rsidR="00430F52" w:rsidRPr="00546933" w:rsidRDefault="00430F52" w:rsidP="00430F5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PQ 11 “Gestione degli alimenti”;</w:t>
      </w:r>
    </w:p>
    <w:p w14:paraId="0C53C054" w14:textId="5243F5CC" w:rsidR="00430F52" w:rsidRPr="00546933" w:rsidRDefault="00430F52" w:rsidP="00430F5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PQ 15 “</w:t>
      </w:r>
      <w:r w:rsidR="00AA4808" w:rsidRPr="00546933">
        <w:rPr>
          <w:rFonts w:ascii="Arial" w:hAnsi="Arial" w:cs="Arial"/>
        </w:rPr>
        <w:t>accesso alla prestazione residenziale</w:t>
      </w:r>
      <w:r w:rsidRPr="00546933">
        <w:rPr>
          <w:rFonts w:ascii="Arial" w:hAnsi="Arial" w:cs="Arial"/>
        </w:rPr>
        <w:t>”</w:t>
      </w:r>
    </w:p>
    <w:p w14:paraId="14397844" w14:textId="2570734D" w:rsidR="00712283" w:rsidRPr="00546933" w:rsidRDefault="00712283" w:rsidP="007122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405FAEF" w14:textId="77777777" w:rsidR="00A97442" w:rsidRPr="00546933" w:rsidRDefault="00A97442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</w:p>
    <w:p w14:paraId="747860F0" w14:textId="77777777" w:rsidR="000622C5" w:rsidRPr="00546933" w:rsidRDefault="000622C5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</w:p>
    <w:p w14:paraId="0937C0B3" w14:textId="6F67FB21" w:rsidR="00B416C9" w:rsidRPr="00546933" w:rsidRDefault="00A851D6" w:rsidP="00A851D6">
      <w:pPr>
        <w:jc w:val="center"/>
        <w:rPr>
          <w:rFonts w:ascii="Arial" w:hAnsi="Arial" w:cs="Arial"/>
        </w:rPr>
      </w:pPr>
      <w:r w:rsidRPr="00546933">
        <w:rPr>
          <w:rFonts w:ascii="Arial" w:hAnsi="Arial" w:cs="Arial"/>
        </w:rPr>
        <w:t>***</w:t>
      </w:r>
    </w:p>
    <w:p w14:paraId="7E979E36" w14:textId="4AF36765" w:rsidR="00B416C9" w:rsidRPr="00546933" w:rsidRDefault="00B416C9" w:rsidP="00B416C9">
      <w:pPr>
        <w:pStyle w:val="Testocommento"/>
        <w:jc w:val="both"/>
        <w:rPr>
          <w:rFonts w:ascii="Arial" w:hAnsi="Arial" w:cs="Arial"/>
          <w:sz w:val="22"/>
          <w:szCs w:val="22"/>
        </w:rPr>
      </w:pPr>
      <w:r w:rsidRPr="00546933">
        <w:rPr>
          <w:rFonts w:ascii="Arial" w:hAnsi="Arial" w:cs="Arial"/>
          <w:sz w:val="22"/>
          <w:szCs w:val="22"/>
        </w:rPr>
        <w:t>Nell’espletamento delle attività di cui alle suddette procedure di prevenzione, tutti i dipendenti e i soggetti apicali della Fondazione devono osservare quanto previsto dalla documentazione interna prodotta e diffusa dalla Fondazione stessa volta a disporre tutte le misure di prevenzione finalizzate al contrasto della diffusione del virus Covid 19</w:t>
      </w:r>
    </w:p>
    <w:p w14:paraId="1C360973" w14:textId="77777777" w:rsidR="00A851D6" w:rsidRPr="00546933" w:rsidRDefault="00A851D6" w:rsidP="00B416C9">
      <w:pPr>
        <w:pStyle w:val="Testocommento"/>
        <w:jc w:val="both"/>
        <w:rPr>
          <w:rFonts w:ascii="Arial" w:hAnsi="Arial" w:cs="Arial"/>
          <w:sz w:val="22"/>
          <w:szCs w:val="22"/>
        </w:rPr>
      </w:pPr>
    </w:p>
    <w:p w14:paraId="76A334F5" w14:textId="51528237" w:rsidR="0039274C" w:rsidRPr="00546933" w:rsidRDefault="00A851D6" w:rsidP="00A851D6">
      <w:pPr>
        <w:pStyle w:val="Testocommento"/>
        <w:jc w:val="center"/>
        <w:rPr>
          <w:rFonts w:ascii="Arial" w:hAnsi="Arial" w:cs="Arial"/>
          <w:sz w:val="22"/>
          <w:szCs w:val="22"/>
        </w:rPr>
      </w:pPr>
      <w:r w:rsidRPr="00546933">
        <w:rPr>
          <w:rFonts w:ascii="Arial" w:hAnsi="Arial" w:cs="Arial"/>
          <w:sz w:val="22"/>
          <w:szCs w:val="22"/>
        </w:rPr>
        <w:t>***</w:t>
      </w:r>
    </w:p>
    <w:p w14:paraId="6E338300" w14:textId="77777777" w:rsidR="0039274C" w:rsidRPr="00546933" w:rsidRDefault="0039274C" w:rsidP="00430F5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546933">
        <w:rPr>
          <w:rFonts w:ascii="Arial" w:hAnsi="Arial" w:cs="Arial"/>
          <w:b/>
          <w:bCs/>
        </w:rPr>
        <w:t>Attività dell'OdV</w:t>
      </w:r>
    </w:p>
    <w:p w14:paraId="49359BB3" w14:textId="77777777" w:rsidR="00160C54" w:rsidRPr="00546933" w:rsidRDefault="00160C54" w:rsidP="007A006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28A2EFE1" w14:textId="77777777" w:rsidR="0039274C" w:rsidRPr="00546933" w:rsidRDefault="0039274C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 xml:space="preserve">Premessi i generali poteri di iniziativa e controllo, l’OdV ha facoltà di visionare tutta </w:t>
      </w:r>
      <w:r w:rsidR="00160C54" w:rsidRPr="00546933">
        <w:rPr>
          <w:rFonts w:ascii="Arial" w:hAnsi="Arial" w:cs="Arial"/>
        </w:rPr>
        <w:t xml:space="preserve">la </w:t>
      </w:r>
      <w:r w:rsidRPr="00546933">
        <w:rPr>
          <w:rFonts w:ascii="Arial" w:hAnsi="Arial" w:cs="Arial"/>
        </w:rPr>
        <w:t xml:space="preserve">documentazione relativa </w:t>
      </w:r>
      <w:r w:rsidR="00160C54" w:rsidRPr="00546933">
        <w:rPr>
          <w:rFonts w:ascii="Arial" w:hAnsi="Arial" w:cs="Arial"/>
        </w:rPr>
        <w:t xml:space="preserve">gestione </w:t>
      </w:r>
      <w:r w:rsidR="00430F52" w:rsidRPr="00546933">
        <w:rPr>
          <w:rFonts w:ascii="Arial" w:hAnsi="Arial" w:cs="Arial"/>
        </w:rPr>
        <w:t>della salute dei pazienti e all’</w:t>
      </w:r>
      <w:r w:rsidR="00160C54" w:rsidRPr="00546933">
        <w:rPr>
          <w:rFonts w:ascii="Arial" w:hAnsi="Arial" w:cs="Arial"/>
        </w:rPr>
        <w:t>erogazione del servizio.</w:t>
      </w:r>
    </w:p>
    <w:p w14:paraId="0DD95A04" w14:textId="77777777" w:rsidR="00160C54" w:rsidRPr="00546933" w:rsidRDefault="00160C54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65F05AC" w14:textId="77777777" w:rsidR="0039274C" w:rsidRPr="00546933" w:rsidRDefault="00430F52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P</w:t>
      </w:r>
      <w:r w:rsidR="0039274C" w:rsidRPr="00546933">
        <w:rPr>
          <w:rFonts w:ascii="Arial" w:hAnsi="Arial" w:cs="Arial"/>
        </w:rPr>
        <w:t>ertanto l’OdV ha facoltà</w:t>
      </w:r>
      <w:r w:rsidRPr="00546933">
        <w:rPr>
          <w:rFonts w:ascii="Arial" w:hAnsi="Arial" w:cs="Arial"/>
        </w:rPr>
        <w:t xml:space="preserve"> </w:t>
      </w:r>
      <w:r w:rsidR="0039274C" w:rsidRPr="00546933">
        <w:rPr>
          <w:rFonts w:ascii="Arial" w:hAnsi="Arial" w:cs="Arial"/>
        </w:rPr>
        <w:t>di verificare:</w:t>
      </w:r>
    </w:p>
    <w:p w14:paraId="6669767E" w14:textId="77777777" w:rsidR="00160C54" w:rsidRPr="00546933" w:rsidRDefault="00160C54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6F3A5E6" w14:textId="77777777" w:rsidR="0039274C" w:rsidRPr="00546933" w:rsidRDefault="0039274C" w:rsidP="00430F52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la documentazione relativa al</w:t>
      </w:r>
      <w:r w:rsidR="00430F52" w:rsidRPr="00546933">
        <w:rPr>
          <w:rFonts w:ascii="Arial" w:hAnsi="Arial" w:cs="Arial"/>
        </w:rPr>
        <w:t>la gestione della salute dei pazienti e all’</w:t>
      </w:r>
      <w:r w:rsidRPr="00546933">
        <w:rPr>
          <w:rFonts w:ascii="Arial" w:hAnsi="Arial" w:cs="Arial"/>
        </w:rPr>
        <w:t>esecuzione del servizio</w:t>
      </w:r>
      <w:r w:rsidR="00430F52" w:rsidRPr="00546933">
        <w:rPr>
          <w:rFonts w:ascii="Arial" w:hAnsi="Arial" w:cs="Arial"/>
        </w:rPr>
        <w:t>;</w:t>
      </w:r>
    </w:p>
    <w:p w14:paraId="7C30587F" w14:textId="77777777" w:rsidR="0039274C" w:rsidRPr="00546933" w:rsidRDefault="0039274C" w:rsidP="00430F52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i reclami ricevuti dai clienti e le conseguenti azioni correttive</w:t>
      </w:r>
      <w:r w:rsidR="00160C54" w:rsidRPr="00546933">
        <w:rPr>
          <w:rFonts w:ascii="Arial" w:hAnsi="Arial" w:cs="Arial"/>
        </w:rPr>
        <w:t xml:space="preserve"> e di miglioramento</w:t>
      </w:r>
      <w:r w:rsidRPr="00546933">
        <w:rPr>
          <w:rFonts w:ascii="Arial" w:hAnsi="Arial" w:cs="Arial"/>
        </w:rPr>
        <w:t>.</w:t>
      </w:r>
    </w:p>
    <w:p w14:paraId="65BFE85C" w14:textId="77777777" w:rsidR="00DB179B" w:rsidRPr="00546933" w:rsidRDefault="00DB179B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4204BD" w14:textId="77777777" w:rsidR="0039274C" w:rsidRPr="00546933" w:rsidRDefault="0039274C" w:rsidP="00430F5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546933">
        <w:rPr>
          <w:rFonts w:ascii="Arial" w:hAnsi="Arial" w:cs="Arial"/>
          <w:b/>
          <w:bCs/>
        </w:rPr>
        <w:t>Disposizioni finali</w:t>
      </w:r>
    </w:p>
    <w:p w14:paraId="15BC8F0B" w14:textId="77777777" w:rsidR="00160C54" w:rsidRPr="00546933" w:rsidRDefault="00160C54" w:rsidP="007A006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DC85E4D" w14:textId="77777777" w:rsidR="0039274C" w:rsidRPr="00546933" w:rsidRDefault="0039274C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Tutte le funzioni aziendali coinvolte hanno la responsabilità di osservare e far osservare il contenuto</w:t>
      </w:r>
    </w:p>
    <w:p w14:paraId="0AD6B0DA" w14:textId="77777777" w:rsidR="00160C54" w:rsidRPr="00546933" w:rsidRDefault="00160C54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del presente protocollo.</w:t>
      </w:r>
    </w:p>
    <w:p w14:paraId="694B5EDA" w14:textId="77777777" w:rsidR="00160C54" w:rsidRPr="00546933" w:rsidRDefault="00160C54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B82D23A" w14:textId="77777777" w:rsidR="0039274C" w:rsidRPr="00546933" w:rsidRDefault="0039274C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Ciascun Destinatario è tenuto a comunicare tempestivamente all’OdV, oltre a quanto espressamente</w:t>
      </w:r>
      <w:r w:rsidR="00430F52" w:rsidRPr="00546933">
        <w:rPr>
          <w:rFonts w:ascii="Arial" w:hAnsi="Arial" w:cs="Arial"/>
        </w:rPr>
        <w:t xml:space="preserve"> </w:t>
      </w:r>
      <w:r w:rsidRPr="00546933">
        <w:rPr>
          <w:rFonts w:ascii="Arial" w:hAnsi="Arial" w:cs="Arial"/>
        </w:rPr>
        <w:t xml:space="preserve">previsto </w:t>
      </w:r>
      <w:r w:rsidR="00160C54" w:rsidRPr="00546933">
        <w:rPr>
          <w:rFonts w:ascii="Arial" w:hAnsi="Arial" w:cs="Arial"/>
        </w:rPr>
        <w:t xml:space="preserve">dal protocollo di </w:t>
      </w:r>
      <w:r w:rsidRPr="00546933">
        <w:rPr>
          <w:rFonts w:ascii="Arial" w:hAnsi="Arial" w:cs="Arial"/>
        </w:rPr>
        <w:t>Gestione dei Rapporti con l’OdV (Pro</w:t>
      </w:r>
      <w:r w:rsidR="00160C54" w:rsidRPr="00546933">
        <w:rPr>
          <w:rFonts w:ascii="Arial" w:hAnsi="Arial" w:cs="Arial"/>
        </w:rPr>
        <w:t>t</w:t>
      </w:r>
      <w:r w:rsidRPr="00546933">
        <w:rPr>
          <w:rFonts w:ascii="Arial" w:hAnsi="Arial" w:cs="Arial"/>
        </w:rPr>
        <w:t>. 1), ogni presunta violazione di</w:t>
      </w:r>
      <w:r w:rsidR="00160C54" w:rsidRPr="00546933">
        <w:rPr>
          <w:rFonts w:ascii="Arial" w:hAnsi="Arial" w:cs="Arial"/>
        </w:rPr>
        <w:t xml:space="preserve"> </w:t>
      </w:r>
      <w:r w:rsidRPr="00546933">
        <w:rPr>
          <w:rFonts w:ascii="Arial" w:hAnsi="Arial" w:cs="Arial"/>
        </w:rPr>
        <w:t>quanto previsto dal</w:t>
      </w:r>
      <w:r w:rsidR="00160C54" w:rsidRPr="00546933">
        <w:rPr>
          <w:rFonts w:ascii="Arial" w:hAnsi="Arial" w:cs="Arial"/>
        </w:rPr>
        <w:t xml:space="preserve"> presente protocollo.</w:t>
      </w:r>
    </w:p>
    <w:p w14:paraId="4B188DB6" w14:textId="77777777" w:rsidR="00365C43" w:rsidRPr="00546933" w:rsidRDefault="00365C43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C7A64E" w14:textId="77777777" w:rsidR="00160C54" w:rsidRPr="00546933" w:rsidRDefault="00160C54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A43D0C1" w14:textId="77777777" w:rsidR="0039274C" w:rsidRPr="00546933" w:rsidRDefault="0039274C" w:rsidP="007A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lastRenderedPageBreak/>
        <w:t>La violazione del</w:t>
      </w:r>
      <w:r w:rsidR="00160C54" w:rsidRPr="00546933">
        <w:rPr>
          <w:rFonts w:ascii="Arial" w:hAnsi="Arial" w:cs="Arial"/>
        </w:rPr>
        <w:t xml:space="preserve"> presente protocollo </w:t>
      </w:r>
      <w:r w:rsidRPr="00546933">
        <w:rPr>
          <w:rFonts w:ascii="Arial" w:hAnsi="Arial" w:cs="Arial"/>
        </w:rPr>
        <w:t>e dei suoi obblighi di comunicazione costituisce violazione</w:t>
      </w:r>
      <w:r w:rsidR="00160C54" w:rsidRPr="00546933">
        <w:rPr>
          <w:rFonts w:ascii="Arial" w:hAnsi="Arial" w:cs="Arial"/>
        </w:rPr>
        <w:t xml:space="preserve"> </w:t>
      </w:r>
      <w:r w:rsidRPr="00546933">
        <w:rPr>
          <w:rFonts w:ascii="Arial" w:hAnsi="Arial" w:cs="Arial"/>
        </w:rPr>
        <w:t>del MOG231 e illecito disciplinare passibile di sanzione ai sensi di legge e del contratto collettivo</w:t>
      </w:r>
    </w:p>
    <w:p w14:paraId="46AC74D3" w14:textId="77777777" w:rsidR="0039274C" w:rsidRPr="00546933" w:rsidRDefault="0039274C" w:rsidP="007A0062">
      <w:pPr>
        <w:jc w:val="both"/>
        <w:rPr>
          <w:rFonts w:ascii="Arial" w:hAnsi="Arial" w:cs="Arial"/>
        </w:rPr>
      </w:pPr>
      <w:r w:rsidRPr="00546933">
        <w:rPr>
          <w:rFonts w:ascii="Arial" w:hAnsi="Arial" w:cs="Arial"/>
        </w:rPr>
        <w:t>nazionale di lavoro applicabile.</w:t>
      </w:r>
    </w:p>
    <w:p w14:paraId="610A8E07" w14:textId="77777777" w:rsidR="00927348" w:rsidRPr="00546933" w:rsidRDefault="00927348" w:rsidP="007A0062">
      <w:pPr>
        <w:jc w:val="both"/>
        <w:rPr>
          <w:rFonts w:ascii="Arial" w:hAnsi="Arial" w:cs="Arial"/>
        </w:rPr>
      </w:pPr>
    </w:p>
    <w:p w14:paraId="6CF79867" w14:textId="77777777" w:rsidR="00927348" w:rsidRPr="00546933" w:rsidRDefault="00927348" w:rsidP="007A0062">
      <w:pPr>
        <w:jc w:val="both"/>
        <w:rPr>
          <w:rFonts w:ascii="Arial" w:hAnsi="Arial" w:cs="Arial"/>
        </w:rPr>
      </w:pPr>
    </w:p>
    <w:p w14:paraId="5432FB7E" w14:textId="77777777" w:rsidR="00546933" w:rsidRPr="00DA6C6D" w:rsidRDefault="00546933" w:rsidP="00546933">
      <w:pPr>
        <w:keepNext/>
        <w:keepLines/>
        <w:spacing w:after="40" w:line="240" w:lineRule="auto"/>
        <w:ind w:left="432" w:right="-2"/>
        <w:outlineLvl w:val="0"/>
        <w:rPr>
          <w:rFonts w:ascii="Arial" w:eastAsia="SimSun" w:hAnsi="Arial" w:cs="Arial"/>
          <w:color w:val="1F4E79"/>
          <w:sz w:val="36"/>
          <w:szCs w:val="36"/>
          <w:lang w:eastAsia="it-IT"/>
        </w:rPr>
      </w:pPr>
      <w:r w:rsidRPr="00DA6C6D">
        <w:rPr>
          <w:rFonts w:ascii="Arial" w:eastAsia="SimSun" w:hAnsi="Arial" w:cs="Arial"/>
          <w:color w:val="1F4E79"/>
          <w:sz w:val="36"/>
          <w:szCs w:val="36"/>
          <w:lang w:eastAsia="it-IT"/>
        </w:rPr>
        <w:t>Stato delle revisioni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4"/>
      </w:tblGrid>
      <w:tr w:rsidR="00546933" w:rsidRPr="00DA6C6D" w14:paraId="3391CEDE" w14:textId="77777777" w:rsidTr="003D0FCB">
        <w:tblPrEx>
          <w:tblCellMar>
            <w:top w:w="0" w:type="dxa"/>
            <w:bottom w:w="0" w:type="dxa"/>
          </w:tblCellMar>
        </w:tblPrEx>
        <w:trPr>
          <w:cantSplit/>
          <w:trHeight w:val="433"/>
        </w:trPr>
        <w:tc>
          <w:tcPr>
            <w:tcW w:w="8664" w:type="dxa"/>
            <w:tcBorders>
              <w:bottom w:val="nil"/>
            </w:tcBorders>
            <w:vAlign w:val="center"/>
          </w:tcPr>
          <w:p w14:paraId="42E70403" w14:textId="77777777" w:rsidR="00546933" w:rsidRPr="00DA6C6D" w:rsidRDefault="00546933" w:rsidP="003D0FCB">
            <w:pPr>
              <w:keepNext/>
              <w:ind w:right="-2"/>
              <w:rPr>
                <w:rFonts w:ascii="Arial" w:hAnsi="Arial" w:cs="Arial"/>
                <w:b/>
                <w:i/>
                <w:sz w:val="14"/>
                <w:lang w:eastAsia="it-IT"/>
              </w:rPr>
            </w:pPr>
            <w:r w:rsidRPr="00DA6C6D">
              <w:rPr>
                <w:rFonts w:ascii="Arial" w:hAnsi="Arial" w:cs="Arial"/>
                <w:b/>
                <w:i/>
                <w:sz w:val="14"/>
                <w:lang w:eastAsia="it-IT"/>
              </w:rPr>
              <w:t>Descrizione</w:t>
            </w:r>
          </w:p>
        </w:tc>
      </w:tr>
      <w:tr w:rsidR="00546933" w:rsidRPr="00DA6C6D" w14:paraId="256FAD68" w14:textId="77777777" w:rsidTr="003D0FCB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8664" w:type="dxa"/>
            <w:vAlign w:val="center"/>
          </w:tcPr>
          <w:p w14:paraId="7BB9E413" w14:textId="77777777" w:rsidR="00546933" w:rsidRPr="00DA6C6D" w:rsidRDefault="00546933" w:rsidP="003D0FCB">
            <w:pPr>
              <w:spacing w:after="60"/>
              <w:ind w:right="-2"/>
              <w:rPr>
                <w:rFonts w:ascii="Arial" w:hAnsi="Arial" w:cs="Arial"/>
                <w:sz w:val="14"/>
                <w:lang w:eastAsia="it-IT"/>
              </w:rPr>
            </w:pPr>
            <w:r>
              <w:rPr>
                <w:rFonts w:ascii="Arial" w:hAnsi="Arial" w:cs="Arial"/>
                <w:lang w:eastAsia="it-IT"/>
              </w:rPr>
              <w:t xml:space="preserve">Rev. 26/06/2020 – Delibera Cda n 5 </w:t>
            </w:r>
          </w:p>
        </w:tc>
      </w:tr>
    </w:tbl>
    <w:p w14:paraId="485C360A" w14:textId="77777777" w:rsidR="00546933" w:rsidRPr="00DA6C6D" w:rsidRDefault="00546933" w:rsidP="00546933">
      <w:pPr>
        <w:rPr>
          <w:rFonts w:ascii="Calibri" w:hAnsi="Calibri"/>
          <w:lang w:eastAsia="it-IT"/>
        </w:rPr>
      </w:pPr>
    </w:p>
    <w:p w14:paraId="5DDB41AD" w14:textId="77777777" w:rsidR="00927348" w:rsidRPr="00546933" w:rsidRDefault="00927348" w:rsidP="00927348">
      <w:pPr>
        <w:rPr>
          <w:rFonts w:ascii="Calibri" w:eastAsia="Times New Roman" w:hAnsi="Calibri" w:cs="Times New Roman"/>
          <w:lang w:eastAsia="it-IT"/>
        </w:rPr>
      </w:pPr>
    </w:p>
    <w:p w14:paraId="3F736842" w14:textId="77777777" w:rsidR="00927348" w:rsidRPr="00546933" w:rsidRDefault="00927348" w:rsidP="007A0062">
      <w:pPr>
        <w:jc w:val="both"/>
        <w:rPr>
          <w:rFonts w:ascii="Arial" w:hAnsi="Arial" w:cs="Arial"/>
        </w:rPr>
      </w:pPr>
    </w:p>
    <w:sectPr w:rsidR="00927348" w:rsidRPr="005469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EF85" w14:textId="77777777" w:rsidR="0007711A" w:rsidRDefault="0007711A" w:rsidP="00615525">
      <w:pPr>
        <w:spacing w:after="0" w:line="240" w:lineRule="auto"/>
      </w:pPr>
      <w:r>
        <w:separator/>
      </w:r>
    </w:p>
  </w:endnote>
  <w:endnote w:type="continuationSeparator" w:id="0">
    <w:p w14:paraId="3CB04685" w14:textId="77777777" w:rsidR="0007711A" w:rsidRDefault="0007711A" w:rsidP="006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6F4D3" w14:textId="77777777" w:rsidR="0007711A" w:rsidRDefault="0007711A" w:rsidP="00615525">
      <w:pPr>
        <w:spacing w:after="0" w:line="240" w:lineRule="auto"/>
      </w:pPr>
      <w:r>
        <w:separator/>
      </w:r>
    </w:p>
  </w:footnote>
  <w:footnote w:type="continuationSeparator" w:id="0">
    <w:p w14:paraId="05FB662D" w14:textId="77777777" w:rsidR="0007711A" w:rsidRDefault="0007711A" w:rsidP="00615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1F2B"/>
    <w:multiLevelType w:val="hybridMultilevel"/>
    <w:tmpl w:val="7A96285E"/>
    <w:lvl w:ilvl="0" w:tplc="381ABE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C2397"/>
    <w:multiLevelType w:val="hybridMultilevel"/>
    <w:tmpl w:val="0966CE3A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B33E4"/>
    <w:multiLevelType w:val="hybridMultilevel"/>
    <w:tmpl w:val="C69A8A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95ED9"/>
    <w:multiLevelType w:val="hybridMultilevel"/>
    <w:tmpl w:val="607AA3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42069"/>
    <w:multiLevelType w:val="hybridMultilevel"/>
    <w:tmpl w:val="2CF40C96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063F"/>
    <w:multiLevelType w:val="hybridMultilevel"/>
    <w:tmpl w:val="B9AC82AC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5025C"/>
    <w:multiLevelType w:val="hybridMultilevel"/>
    <w:tmpl w:val="0E0A068C"/>
    <w:lvl w:ilvl="0" w:tplc="B476A11A">
      <w:start w:val="11"/>
      <w:numFmt w:val="bullet"/>
      <w:lvlText w:val="-"/>
      <w:lvlJc w:val="left"/>
      <w:pPr>
        <w:ind w:left="420" w:hanging="360"/>
      </w:pPr>
      <w:rPr>
        <w:rFonts w:ascii="Times-Roman" w:eastAsiaTheme="minorHAns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9122E9"/>
    <w:multiLevelType w:val="hybridMultilevel"/>
    <w:tmpl w:val="09B0105C"/>
    <w:lvl w:ilvl="0" w:tplc="A636CF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06BF1"/>
    <w:multiLevelType w:val="hybridMultilevel"/>
    <w:tmpl w:val="7EFE7C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B6030"/>
    <w:multiLevelType w:val="hybridMultilevel"/>
    <w:tmpl w:val="9738DC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51647"/>
    <w:multiLevelType w:val="hybridMultilevel"/>
    <w:tmpl w:val="113EDF60"/>
    <w:lvl w:ilvl="0" w:tplc="BF801A16">
      <w:start w:val="11"/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E5D71"/>
    <w:multiLevelType w:val="hybridMultilevel"/>
    <w:tmpl w:val="607AA3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423BB"/>
    <w:multiLevelType w:val="hybridMultilevel"/>
    <w:tmpl w:val="116CBE70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B4B80"/>
    <w:multiLevelType w:val="hybridMultilevel"/>
    <w:tmpl w:val="83A60CAC"/>
    <w:lvl w:ilvl="0" w:tplc="BF801A16">
      <w:start w:val="11"/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C1EAC"/>
    <w:multiLevelType w:val="hybridMultilevel"/>
    <w:tmpl w:val="C760596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D6AF4"/>
    <w:multiLevelType w:val="hybridMultilevel"/>
    <w:tmpl w:val="7B6676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C2F01"/>
    <w:multiLevelType w:val="hybridMultilevel"/>
    <w:tmpl w:val="F6E084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335A3"/>
    <w:multiLevelType w:val="hybridMultilevel"/>
    <w:tmpl w:val="439E56CC"/>
    <w:lvl w:ilvl="0" w:tplc="20EC82F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1307A"/>
    <w:multiLevelType w:val="hybridMultilevel"/>
    <w:tmpl w:val="F9920D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B5BCA"/>
    <w:multiLevelType w:val="hybridMultilevel"/>
    <w:tmpl w:val="19065B9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B60E2"/>
    <w:multiLevelType w:val="hybridMultilevel"/>
    <w:tmpl w:val="9B7A39A2"/>
    <w:lvl w:ilvl="0" w:tplc="511057FA"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AD3147"/>
    <w:multiLevelType w:val="hybridMultilevel"/>
    <w:tmpl w:val="374CDA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165769">
    <w:abstractNumId w:val="18"/>
  </w:num>
  <w:num w:numId="2" w16cid:durableId="667444424">
    <w:abstractNumId w:val="7"/>
  </w:num>
  <w:num w:numId="3" w16cid:durableId="1303776448">
    <w:abstractNumId w:val="9"/>
  </w:num>
  <w:num w:numId="4" w16cid:durableId="1276446149">
    <w:abstractNumId w:val="8"/>
  </w:num>
  <w:num w:numId="5" w16cid:durableId="1634755527">
    <w:abstractNumId w:val="14"/>
  </w:num>
  <w:num w:numId="6" w16cid:durableId="1761024022">
    <w:abstractNumId w:val="19"/>
  </w:num>
  <w:num w:numId="7" w16cid:durableId="1978945769">
    <w:abstractNumId w:val="20"/>
  </w:num>
  <w:num w:numId="8" w16cid:durableId="1244071001">
    <w:abstractNumId w:val="3"/>
  </w:num>
  <w:num w:numId="9" w16cid:durableId="185948828">
    <w:abstractNumId w:val="15"/>
  </w:num>
  <w:num w:numId="10" w16cid:durableId="361058533">
    <w:abstractNumId w:val="5"/>
  </w:num>
  <w:num w:numId="11" w16cid:durableId="219053219">
    <w:abstractNumId w:val="12"/>
  </w:num>
  <w:num w:numId="12" w16cid:durableId="1898740762">
    <w:abstractNumId w:val="6"/>
  </w:num>
  <w:num w:numId="13" w16cid:durableId="834760096">
    <w:abstractNumId w:val="10"/>
  </w:num>
  <w:num w:numId="14" w16cid:durableId="162550287">
    <w:abstractNumId w:val="21"/>
  </w:num>
  <w:num w:numId="15" w16cid:durableId="826550477">
    <w:abstractNumId w:val="16"/>
  </w:num>
  <w:num w:numId="16" w16cid:durableId="208954544">
    <w:abstractNumId w:val="1"/>
  </w:num>
  <w:num w:numId="17" w16cid:durableId="1163157519">
    <w:abstractNumId w:val="11"/>
  </w:num>
  <w:num w:numId="18" w16cid:durableId="844394819">
    <w:abstractNumId w:val="17"/>
  </w:num>
  <w:num w:numId="19" w16cid:durableId="706877491">
    <w:abstractNumId w:val="2"/>
  </w:num>
  <w:num w:numId="20" w16cid:durableId="199786124">
    <w:abstractNumId w:val="4"/>
  </w:num>
  <w:num w:numId="21" w16cid:durableId="610937557">
    <w:abstractNumId w:val="13"/>
  </w:num>
  <w:num w:numId="22" w16cid:durableId="994378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74C"/>
    <w:rsid w:val="00000AF2"/>
    <w:rsid w:val="000622C5"/>
    <w:rsid w:val="0007711A"/>
    <w:rsid w:val="00086944"/>
    <w:rsid w:val="000A2FE1"/>
    <w:rsid w:val="000B1616"/>
    <w:rsid w:val="000D69AE"/>
    <w:rsid w:val="000D791A"/>
    <w:rsid w:val="000F0E6B"/>
    <w:rsid w:val="000F1A5E"/>
    <w:rsid w:val="001176B6"/>
    <w:rsid w:val="00132808"/>
    <w:rsid w:val="00160C54"/>
    <w:rsid w:val="00164020"/>
    <w:rsid w:val="00193553"/>
    <w:rsid w:val="001F156E"/>
    <w:rsid w:val="00277D0C"/>
    <w:rsid w:val="002B558C"/>
    <w:rsid w:val="002C6CDB"/>
    <w:rsid w:val="002D1180"/>
    <w:rsid w:val="00365C43"/>
    <w:rsid w:val="0039274C"/>
    <w:rsid w:val="00430F52"/>
    <w:rsid w:val="004D7C9C"/>
    <w:rsid w:val="0051136C"/>
    <w:rsid w:val="00525DD0"/>
    <w:rsid w:val="00546933"/>
    <w:rsid w:val="00564E4B"/>
    <w:rsid w:val="005928F0"/>
    <w:rsid w:val="00615525"/>
    <w:rsid w:val="00663964"/>
    <w:rsid w:val="006B751D"/>
    <w:rsid w:val="006C32FE"/>
    <w:rsid w:val="00712283"/>
    <w:rsid w:val="007A0062"/>
    <w:rsid w:val="00870409"/>
    <w:rsid w:val="008C4156"/>
    <w:rsid w:val="008E09F8"/>
    <w:rsid w:val="008E3BC0"/>
    <w:rsid w:val="008F485C"/>
    <w:rsid w:val="0090582F"/>
    <w:rsid w:val="00927348"/>
    <w:rsid w:val="009B6202"/>
    <w:rsid w:val="009D3C0D"/>
    <w:rsid w:val="009E5EA3"/>
    <w:rsid w:val="00A01DAB"/>
    <w:rsid w:val="00A05D48"/>
    <w:rsid w:val="00A1073F"/>
    <w:rsid w:val="00A77787"/>
    <w:rsid w:val="00A851D6"/>
    <w:rsid w:val="00A97442"/>
    <w:rsid w:val="00AA4808"/>
    <w:rsid w:val="00AD4077"/>
    <w:rsid w:val="00B22E7D"/>
    <w:rsid w:val="00B416C9"/>
    <w:rsid w:val="00BE523A"/>
    <w:rsid w:val="00C12420"/>
    <w:rsid w:val="00CB1888"/>
    <w:rsid w:val="00CF4330"/>
    <w:rsid w:val="00D11CA2"/>
    <w:rsid w:val="00D73B25"/>
    <w:rsid w:val="00DB179B"/>
    <w:rsid w:val="00DD2D95"/>
    <w:rsid w:val="00DE7028"/>
    <w:rsid w:val="00E359A9"/>
    <w:rsid w:val="00E4387C"/>
    <w:rsid w:val="00E63FBC"/>
    <w:rsid w:val="00EC45E2"/>
    <w:rsid w:val="00F910BE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825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274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155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5525"/>
  </w:style>
  <w:style w:type="paragraph" w:styleId="Pidipagina">
    <w:name w:val="footer"/>
    <w:basedOn w:val="Normale"/>
    <w:link w:val="PidipaginaCarattere"/>
    <w:uiPriority w:val="99"/>
    <w:unhideWhenUsed/>
    <w:rsid w:val="006155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55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2283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12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2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22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22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sidenzacanevar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2019-10-25T12:19:00Z</dcterms:created>
  <dcterms:modified xsi:type="dcterms:W3CDTF">2024-01-16T12:04:00Z</dcterms:modified>
</cp:coreProperties>
</file>